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859"/>
        <w:gridCol w:w="1778"/>
        <w:gridCol w:w="2161"/>
        <w:gridCol w:w="181"/>
        <w:gridCol w:w="1360"/>
        <w:gridCol w:w="263"/>
        <w:gridCol w:w="1574"/>
      </w:tblGrid>
      <w:tr w:rsidR="006B55BA">
        <w:trPr>
          <w:trHeight w:val="424"/>
        </w:trPr>
        <w:tc>
          <w:tcPr>
            <w:tcW w:w="1859" w:type="dxa"/>
            <w:vMerge w:val="restart"/>
            <w:tcBorders>
              <w:bottom w:val="single" w:sz="4" w:space="0" w:color="000000"/>
              <w:right w:val="single" w:sz="4" w:space="0" w:color="000000"/>
            </w:tcBorders>
          </w:tcPr>
          <w:p w:rsidR="006B55BA" w:rsidRDefault="006B55BA" w:rsidP="0035766F">
            <w:pPr>
              <w:pStyle w:val="TableParagraph"/>
              <w:rPr>
                <w:rFonts w:ascii="Times New Roman"/>
                <w:sz w:val="19"/>
              </w:rPr>
            </w:pPr>
            <w:r w:rsidRPr="006B55BA">
              <w:pict>
                <v:shape id="_x0000_s1026" style="position:absolute;margin-left:49.1pt;margin-top:794pt;width:495.15pt;height:2.9pt;z-index:15728640;mso-position-horizontal-relative:page;mso-position-vertical-relative:page" coordorigin="982,15880" coordsize="9903,58" o:spt="100" adj="0,,0" path="m10884,15924r-9902,l982,15938r9902,l10884,15924xm10884,15880r-9902,l982,15909r9902,l10884,15880xe" fillcolor="black" stroked="f">
                  <v:stroke joinstyle="round"/>
                  <v:formulas/>
                  <v:path arrowok="t" o:connecttype="segments"/>
                  <w10:wrap anchorx="page" anchory="page"/>
                </v:shape>
              </w:pict>
            </w:r>
          </w:p>
          <w:p w:rsidR="006B55BA" w:rsidRDefault="0035766F">
            <w:pPr>
              <w:pStyle w:val="TableParagraph"/>
              <w:ind w:left="422"/>
              <w:rPr>
                <w:rFonts w:ascii="Times New Roman"/>
                <w:sz w:val="20"/>
              </w:rPr>
            </w:pPr>
            <w:r w:rsidRPr="0035766F">
              <w:rPr>
                <w:rFonts w:ascii="Times New Roman"/>
                <w:noProof/>
                <w:sz w:val="20"/>
              </w:rPr>
              <w:drawing>
                <wp:inline distT="0" distB="0" distL="0" distR="0">
                  <wp:extent cx="548640" cy="787400"/>
                  <wp:effectExtent l="0" t="0" r="0" b="0"/>
                  <wp:docPr id="3" name="Picture 1" descr="cer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tiva"/>
                          <pic:cNvPicPr>
                            <a:picLocks noChangeAspect="1" noChangeArrowheads="1"/>
                          </pic:cNvPicPr>
                        </pic:nvPicPr>
                        <pic:blipFill>
                          <a:blip r:embed="rId7" cstate="print"/>
                          <a:srcRect/>
                          <a:stretch>
                            <a:fillRect/>
                          </a:stretch>
                        </pic:blipFill>
                        <pic:spPr bwMode="auto">
                          <a:xfrm>
                            <a:off x="0" y="0"/>
                            <a:ext cx="548640" cy="787400"/>
                          </a:xfrm>
                          <a:prstGeom prst="rect">
                            <a:avLst/>
                          </a:prstGeom>
                          <a:noFill/>
                          <a:ln w="9525">
                            <a:noFill/>
                            <a:miter lim="800000"/>
                            <a:headEnd/>
                            <a:tailEnd/>
                          </a:ln>
                        </pic:spPr>
                      </pic:pic>
                    </a:graphicData>
                  </a:graphic>
                </wp:inline>
              </w:drawing>
            </w:r>
          </w:p>
        </w:tc>
        <w:tc>
          <w:tcPr>
            <w:tcW w:w="4120" w:type="dxa"/>
            <w:gridSpan w:val="3"/>
            <w:vMerge w:val="restart"/>
            <w:tcBorders>
              <w:left w:val="single" w:sz="4" w:space="0" w:color="000000"/>
              <w:bottom w:val="single" w:sz="4" w:space="0" w:color="000000"/>
              <w:right w:val="single" w:sz="4" w:space="0" w:color="000000"/>
            </w:tcBorders>
          </w:tcPr>
          <w:p w:rsidR="0035766F" w:rsidRDefault="0035766F" w:rsidP="0035766F">
            <w:pPr>
              <w:pStyle w:val="TableParagraph"/>
              <w:ind w:right="1555"/>
              <w:jc w:val="center"/>
              <w:rPr>
                <w:rFonts w:ascii="Times New Roman"/>
              </w:rPr>
            </w:pPr>
          </w:p>
          <w:p w:rsidR="006B55BA" w:rsidRDefault="0035766F" w:rsidP="0035766F">
            <w:pPr>
              <w:pStyle w:val="TableParagraph"/>
              <w:ind w:right="1555"/>
              <w:rPr>
                <w:rFonts w:ascii="Liberation Sans Narrow"/>
                <w:sz w:val="24"/>
              </w:rPr>
            </w:pPr>
            <w:r>
              <w:rPr>
                <w:rFonts w:ascii="Times New Roman"/>
              </w:rPr>
              <w:tab/>
            </w:r>
            <w:r>
              <w:rPr>
                <w:rFonts w:ascii="Liberation Sans Narrow"/>
                <w:sz w:val="24"/>
              </w:rPr>
              <w:t>PROCEDURE</w:t>
            </w:r>
          </w:p>
        </w:tc>
        <w:tc>
          <w:tcPr>
            <w:tcW w:w="1623" w:type="dxa"/>
            <w:gridSpan w:val="2"/>
            <w:tcBorders>
              <w:left w:val="single" w:sz="4" w:space="0" w:color="000000"/>
              <w:bottom w:val="single" w:sz="4" w:space="0" w:color="000000"/>
              <w:right w:val="single" w:sz="4" w:space="0" w:color="000000"/>
            </w:tcBorders>
          </w:tcPr>
          <w:p w:rsidR="006B55BA" w:rsidRPr="0035766F" w:rsidRDefault="00FE7441" w:rsidP="0035766F">
            <w:pPr>
              <w:pStyle w:val="TableParagraph"/>
              <w:spacing w:before="74"/>
              <w:ind w:left="105"/>
              <w:rPr>
                <w:rFonts w:ascii="Liberation Sans Narrow"/>
              </w:rPr>
            </w:pPr>
            <w:r w:rsidRPr="0035766F">
              <w:rPr>
                <w:rFonts w:ascii="Liberation Sans Narrow"/>
              </w:rPr>
              <w:t>Doc</w:t>
            </w:r>
            <w:r w:rsidR="0035766F" w:rsidRPr="0035766F">
              <w:rPr>
                <w:rFonts w:ascii="Liberation Sans Narrow"/>
              </w:rPr>
              <w:t>.</w:t>
            </w:r>
            <w:r w:rsidRPr="0035766F">
              <w:rPr>
                <w:rFonts w:ascii="Liberation Sans Narrow"/>
              </w:rPr>
              <w:t xml:space="preserve"> No.</w:t>
            </w:r>
          </w:p>
        </w:tc>
        <w:tc>
          <w:tcPr>
            <w:tcW w:w="1574" w:type="dxa"/>
            <w:tcBorders>
              <w:left w:val="single" w:sz="4" w:space="0" w:color="000000"/>
              <w:bottom w:val="single" w:sz="4" w:space="0" w:color="000000"/>
            </w:tcBorders>
          </w:tcPr>
          <w:p w:rsidR="006B55BA" w:rsidRPr="0035766F" w:rsidRDefault="00FE7441">
            <w:pPr>
              <w:pStyle w:val="TableParagraph"/>
              <w:spacing w:before="74"/>
              <w:ind w:left="103"/>
              <w:rPr>
                <w:rFonts w:ascii="Liberation Sans Narrow"/>
              </w:rPr>
            </w:pPr>
            <w:r w:rsidRPr="0035766F">
              <w:rPr>
                <w:rFonts w:ascii="Liberation Sans Narrow"/>
              </w:rPr>
              <w:t>P-11</w:t>
            </w:r>
          </w:p>
        </w:tc>
      </w:tr>
      <w:tr w:rsidR="006B55BA">
        <w:trPr>
          <w:trHeight w:val="347"/>
        </w:trPr>
        <w:tc>
          <w:tcPr>
            <w:tcW w:w="1859" w:type="dxa"/>
            <w:vMerge/>
            <w:tcBorders>
              <w:top w:val="nil"/>
              <w:bottom w:val="single" w:sz="4" w:space="0" w:color="000000"/>
              <w:right w:val="single" w:sz="4" w:space="0" w:color="000000"/>
            </w:tcBorders>
          </w:tcPr>
          <w:p w:rsidR="006B55BA" w:rsidRDefault="006B55BA">
            <w:pPr>
              <w:rPr>
                <w:sz w:val="2"/>
                <w:szCs w:val="2"/>
              </w:rPr>
            </w:pPr>
          </w:p>
        </w:tc>
        <w:tc>
          <w:tcPr>
            <w:tcW w:w="4120" w:type="dxa"/>
            <w:gridSpan w:val="3"/>
            <w:vMerge/>
            <w:tcBorders>
              <w:top w:val="nil"/>
              <w:left w:val="single" w:sz="4" w:space="0" w:color="000000"/>
              <w:bottom w:val="single" w:sz="4" w:space="0" w:color="000000"/>
              <w:right w:val="single" w:sz="4" w:space="0" w:color="000000"/>
            </w:tcBorders>
          </w:tcPr>
          <w:p w:rsidR="006B55BA" w:rsidRDefault="006B55BA">
            <w:pPr>
              <w:rPr>
                <w:sz w:val="2"/>
                <w:szCs w:val="2"/>
              </w:rPr>
            </w:pPr>
          </w:p>
        </w:tc>
        <w:tc>
          <w:tcPr>
            <w:tcW w:w="1623" w:type="dxa"/>
            <w:gridSpan w:val="2"/>
            <w:vMerge w:val="restart"/>
            <w:tcBorders>
              <w:top w:val="single" w:sz="4" w:space="0" w:color="000000"/>
              <w:left w:val="single" w:sz="4" w:space="0" w:color="000000"/>
              <w:bottom w:val="single" w:sz="4" w:space="0" w:color="000000"/>
              <w:right w:val="single" w:sz="4" w:space="0" w:color="000000"/>
            </w:tcBorders>
          </w:tcPr>
          <w:p w:rsidR="006B55BA" w:rsidRPr="0035766F" w:rsidRDefault="00FE7441">
            <w:pPr>
              <w:pStyle w:val="TableParagraph"/>
              <w:spacing w:before="214"/>
              <w:ind w:left="105"/>
              <w:rPr>
                <w:rFonts w:ascii="Liberation Sans Narrow"/>
              </w:rPr>
            </w:pPr>
            <w:r w:rsidRPr="0035766F">
              <w:rPr>
                <w:rFonts w:ascii="Liberation Sans Narrow"/>
              </w:rPr>
              <w:t>Version</w:t>
            </w:r>
          </w:p>
        </w:tc>
        <w:tc>
          <w:tcPr>
            <w:tcW w:w="1574" w:type="dxa"/>
            <w:vMerge w:val="restart"/>
            <w:tcBorders>
              <w:top w:val="single" w:sz="4" w:space="0" w:color="000000"/>
              <w:left w:val="single" w:sz="4" w:space="0" w:color="000000"/>
              <w:bottom w:val="single" w:sz="4" w:space="0" w:color="000000"/>
            </w:tcBorders>
          </w:tcPr>
          <w:p w:rsidR="006B55BA" w:rsidRPr="0035766F" w:rsidRDefault="00FE7441">
            <w:pPr>
              <w:pStyle w:val="TableParagraph"/>
              <w:spacing w:before="214"/>
              <w:ind w:left="103"/>
              <w:rPr>
                <w:rFonts w:ascii="Liberation Sans Narrow"/>
              </w:rPr>
            </w:pPr>
            <w:r w:rsidRPr="0035766F">
              <w:rPr>
                <w:rFonts w:ascii="Liberation Sans Narrow"/>
              </w:rPr>
              <w:t>3</w:t>
            </w:r>
          </w:p>
        </w:tc>
      </w:tr>
      <w:tr w:rsidR="006B55BA">
        <w:trPr>
          <w:trHeight w:val="347"/>
        </w:trPr>
        <w:tc>
          <w:tcPr>
            <w:tcW w:w="1859" w:type="dxa"/>
            <w:vMerge/>
            <w:tcBorders>
              <w:top w:val="nil"/>
              <w:bottom w:val="single" w:sz="4" w:space="0" w:color="000000"/>
              <w:right w:val="single" w:sz="4" w:space="0" w:color="000000"/>
            </w:tcBorders>
          </w:tcPr>
          <w:p w:rsidR="006B55BA" w:rsidRDefault="006B55BA">
            <w:pPr>
              <w:rPr>
                <w:sz w:val="2"/>
                <w:szCs w:val="2"/>
              </w:rPr>
            </w:pPr>
          </w:p>
        </w:tc>
        <w:tc>
          <w:tcPr>
            <w:tcW w:w="4120" w:type="dxa"/>
            <w:gridSpan w:val="3"/>
            <w:vMerge w:val="restart"/>
            <w:tcBorders>
              <w:top w:val="single" w:sz="4" w:space="0" w:color="000000"/>
              <w:left w:val="single" w:sz="4" w:space="0" w:color="000000"/>
              <w:bottom w:val="single" w:sz="4" w:space="0" w:color="000000"/>
              <w:right w:val="single" w:sz="4" w:space="0" w:color="000000"/>
            </w:tcBorders>
          </w:tcPr>
          <w:p w:rsidR="006B55BA" w:rsidRPr="0035766F" w:rsidRDefault="0035766F" w:rsidP="0035766F">
            <w:pPr>
              <w:pStyle w:val="TableParagraph"/>
              <w:spacing w:before="168"/>
              <w:jc w:val="center"/>
              <w:rPr>
                <w:rFonts w:ascii="Liberation Sans Narrow"/>
                <w:b/>
                <w:sz w:val="18"/>
                <w:szCs w:val="18"/>
              </w:rPr>
            </w:pPr>
            <w:r w:rsidRPr="0035766F">
              <w:rPr>
                <w:rFonts w:ascii="Liberation Sans Narrow"/>
                <w:b/>
                <w:sz w:val="18"/>
                <w:szCs w:val="18"/>
              </w:rPr>
              <w:t>TRANSFER OF ACCREDITED CERTIFICATION</w:t>
            </w:r>
          </w:p>
        </w:tc>
        <w:tc>
          <w:tcPr>
            <w:tcW w:w="1623" w:type="dxa"/>
            <w:gridSpan w:val="2"/>
            <w:vMerge/>
            <w:tcBorders>
              <w:top w:val="nil"/>
              <w:left w:val="single" w:sz="4" w:space="0" w:color="000000"/>
              <w:bottom w:val="single" w:sz="4" w:space="0" w:color="000000"/>
              <w:right w:val="single" w:sz="4" w:space="0" w:color="000000"/>
            </w:tcBorders>
          </w:tcPr>
          <w:p w:rsidR="006B55BA" w:rsidRPr="0035766F" w:rsidRDefault="006B55BA"/>
        </w:tc>
        <w:tc>
          <w:tcPr>
            <w:tcW w:w="1574" w:type="dxa"/>
            <w:vMerge/>
            <w:tcBorders>
              <w:top w:val="nil"/>
              <w:left w:val="single" w:sz="4" w:space="0" w:color="000000"/>
              <w:bottom w:val="single" w:sz="4" w:space="0" w:color="000000"/>
            </w:tcBorders>
          </w:tcPr>
          <w:p w:rsidR="006B55BA" w:rsidRPr="0035766F" w:rsidRDefault="006B55BA"/>
        </w:tc>
      </w:tr>
      <w:tr w:rsidR="006B55BA">
        <w:trPr>
          <w:trHeight w:val="532"/>
        </w:trPr>
        <w:tc>
          <w:tcPr>
            <w:tcW w:w="1859" w:type="dxa"/>
            <w:vMerge/>
            <w:tcBorders>
              <w:top w:val="nil"/>
              <w:bottom w:val="single" w:sz="4" w:space="0" w:color="000000"/>
              <w:right w:val="single" w:sz="4" w:space="0" w:color="000000"/>
            </w:tcBorders>
          </w:tcPr>
          <w:p w:rsidR="006B55BA" w:rsidRDefault="006B55BA">
            <w:pPr>
              <w:rPr>
                <w:sz w:val="2"/>
                <w:szCs w:val="2"/>
              </w:rPr>
            </w:pPr>
          </w:p>
        </w:tc>
        <w:tc>
          <w:tcPr>
            <w:tcW w:w="4120" w:type="dxa"/>
            <w:gridSpan w:val="3"/>
            <w:vMerge/>
            <w:tcBorders>
              <w:top w:val="nil"/>
              <w:left w:val="single" w:sz="4" w:space="0" w:color="000000"/>
              <w:bottom w:val="single" w:sz="4" w:space="0" w:color="000000"/>
              <w:right w:val="single" w:sz="4" w:space="0" w:color="000000"/>
            </w:tcBorders>
          </w:tcPr>
          <w:p w:rsidR="006B55BA" w:rsidRDefault="006B55BA">
            <w:pPr>
              <w:rPr>
                <w:sz w:val="2"/>
                <w:szCs w:val="2"/>
              </w:rPr>
            </w:pPr>
          </w:p>
        </w:tc>
        <w:tc>
          <w:tcPr>
            <w:tcW w:w="1623" w:type="dxa"/>
            <w:gridSpan w:val="2"/>
            <w:tcBorders>
              <w:top w:val="single" w:sz="4" w:space="0" w:color="000000"/>
              <w:left w:val="single" w:sz="4" w:space="0" w:color="000000"/>
              <w:bottom w:val="single" w:sz="4" w:space="0" w:color="000000"/>
              <w:right w:val="single" w:sz="4" w:space="0" w:color="000000"/>
            </w:tcBorders>
          </w:tcPr>
          <w:p w:rsidR="006B55BA" w:rsidRPr="0035766F" w:rsidRDefault="00FE7441">
            <w:pPr>
              <w:pStyle w:val="TableParagraph"/>
              <w:spacing w:before="127"/>
              <w:ind w:left="105"/>
              <w:rPr>
                <w:rFonts w:ascii="Liberation Sans Narrow"/>
              </w:rPr>
            </w:pPr>
            <w:r w:rsidRPr="0035766F">
              <w:rPr>
                <w:rFonts w:ascii="Liberation Sans Narrow"/>
              </w:rPr>
              <w:t>Date of Issue</w:t>
            </w:r>
          </w:p>
        </w:tc>
        <w:tc>
          <w:tcPr>
            <w:tcW w:w="1574" w:type="dxa"/>
            <w:tcBorders>
              <w:top w:val="single" w:sz="4" w:space="0" w:color="000000"/>
              <w:left w:val="single" w:sz="4" w:space="0" w:color="000000"/>
              <w:bottom w:val="single" w:sz="4" w:space="0" w:color="000000"/>
            </w:tcBorders>
          </w:tcPr>
          <w:p w:rsidR="006B55BA" w:rsidRPr="0035766F" w:rsidRDefault="0035766F" w:rsidP="0035766F">
            <w:pPr>
              <w:pStyle w:val="TableParagraph"/>
              <w:spacing w:before="127"/>
              <w:ind w:left="103"/>
              <w:rPr>
                <w:rFonts w:ascii="Liberation Sans Narrow"/>
              </w:rPr>
            </w:pPr>
            <w:r w:rsidRPr="0035766F">
              <w:rPr>
                <w:rFonts w:ascii="Liberation Sans Narrow"/>
              </w:rPr>
              <w:t>June</w:t>
            </w:r>
            <w:r w:rsidR="00FE7441" w:rsidRPr="0035766F">
              <w:rPr>
                <w:rFonts w:ascii="Liberation Sans Narrow"/>
              </w:rPr>
              <w:t xml:space="preserve"> </w:t>
            </w:r>
            <w:r w:rsidRPr="0035766F">
              <w:rPr>
                <w:rFonts w:ascii="Liberation Sans Narrow"/>
              </w:rPr>
              <w:t>15</w:t>
            </w:r>
            <w:r w:rsidR="00FE7441" w:rsidRPr="0035766F">
              <w:rPr>
                <w:rFonts w:ascii="Liberation Sans Narrow"/>
              </w:rPr>
              <w:t>, 201</w:t>
            </w:r>
            <w:r w:rsidRPr="0035766F">
              <w:rPr>
                <w:rFonts w:ascii="Liberation Sans Narrow"/>
              </w:rPr>
              <w:t>9</w:t>
            </w:r>
          </w:p>
        </w:tc>
      </w:tr>
      <w:tr w:rsidR="006B55BA">
        <w:trPr>
          <w:trHeight w:val="10702"/>
        </w:trPr>
        <w:tc>
          <w:tcPr>
            <w:tcW w:w="9176" w:type="dxa"/>
            <w:gridSpan w:val="7"/>
            <w:tcBorders>
              <w:top w:val="single" w:sz="4" w:space="0" w:color="000000"/>
              <w:bottom w:val="double" w:sz="2" w:space="0" w:color="000000"/>
              <w:right w:val="single" w:sz="4" w:space="0" w:color="000000"/>
            </w:tcBorders>
          </w:tcPr>
          <w:p w:rsidR="006B55BA" w:rsidRDefault="006B55BA">
            <w:pPr>
              <w:pStyle w:val="TableParagraph"/>
              <w:rPr>
                <w:rFonts w:ascii="Times New Roman"/>
              </w:rPr>
            </w:pPr>
          </w:p>
        </w:tc>
      </w:tr>
      <w:tr w:rsidR="0035766F" w:rsidTr="0035766F">
        <w:trPr>
          <w:trHeight w:val="1280"/>
        </w:trPr>
        <w:tc>
          <w:tcPr>
            <w:tcW w:w="3637" w:type="dxa"/>
            <w:gridSpan w:val="2"/>
            <w:tcBorders>
              <w:top w:val="double" w:sz="2" w:space="0" w:color="000000"/>
              <w:right w:val="single" w:sz="4" w:space="0" w:color="000000"/>
            </w:tcBorders>
            <w:vAlign w:val="center"/>
          </w:tcPr>
          <w:p w:rsidR="0035766F" w:rsidRPr="0035766F" w:rsidRDefault="0035766F" w:rsidP="0035766F">
            <w:pPr>
              <w:pStyle w:val="TableParagraph"/>
              <w:spacing w:before="156"/>
              <w:ind w:left="82"/>
              <w:jc w:val="center"/>
              <w:rPr>
                <w:rFonts w:asciiTheme="majorHAnsi" w:hAnsiTheme="majorHAnsi"/>
              </w:rPr>
            </w:pPr>
            <w:r w:rsidRPr="0035766F">
              <w:rPr>
                <w:rFonts w:asciiTheme="majorHAnsi" w:hAnsiTheme="majorHAnsi"/>
              </w:rPr>
              <w:t>Reviewed &amp; Approved by</w:t>
            </w:r>
          </w:p>
        </w:tc>
        <w:tc>
          <w:tcPr>
            <w:tcW w:w="2161" w:type="dxa"/>
            <w:tcBorders>
              <w:top w:val="double" w:sz="2" w:space="0" w:color="000000"/>
              <w:left w:val="single" w:sz="4" w:space="0" w:color="000000"/>
              <w:right w:val="single" w:sz="4" w:space="0" w:color="000000"/>
            </w:tcBorders>
            <w:vAlign w:val="center"/>
          </w:tcPr>
          <w:p w:rsidR="0035766F" w:rsidRPr="0035766F" w:rsidRDefault="0035766F" w:rsidP="0035766F">
            <w:pPr>
              <w:pStyle w:val="TableParagraph"/>
              <w:spacing w:before="156"/>
              <w:ind w:left="107"/>
              <w:jc w:val="center"/>
              <w:rPr>
                <w:rFonts w:asciiTheme="majorHAnsi" w:hAnsiTheme="majorHAnsi"/>
              </w:rPr>
            </w:pPr>
            <w:r w:rsidRPr="0035766F">
              <w:rPr>
                <w:rFonts w:asciiTheme="majorHAnsi" w:hAnsiTheme="majorHAnsi"/>
              </w:rPr>
              <w:t>Managing Director</w:t>
            </w:r>
          </w:p>
        </w:tc>
        <w:tc>
          <w:tcPr>
            <w:tcW w:w="1541" w:type="dxa"/>
            <w:gridSpan w:val="2"/>
            <w:tcBorders>
              <w:top w:val="double" w:sz="2" w:space="0" w:color="000000"/>
              <w:left w:val="single" w:sz="4" w:space="0" w:color="000000"/>
              <w:right w:val="single" w:sz="4" w:space="0" w:color="000000"/>
            </w:tcBorders>
            <w:vAlign w:val="center"/>
          </w:tcPr>
          <w:p w:rsidR="0035766F" w:rsidRPr="0035766F" w:rsidRDefault="0035766F" w:rsidP="0035766F">
            <w:pPr>
              <w:pStyle w:val="TableParagraph"/>
              <w:ind w:left="106"/>
              <w:jc w:val="center"/>
              <w:rPr>
                <w:rFonts w:asciiTheme="majorHAnsi" w:hAnsiTheme="majorHAnsi"/>
              </w:rPr>
            </w:pPr>
            <w:r w:rsidRPr="0035766F">
              <w:rPr>
                <w:rFonts w:asciiTheme="majorHAnsi" w:hAnsiTheme="majorHAnsi"/>
              </w:rPr>
              <w:t>Signature</w:t>
            </w:r>
          </w:p>
        </w:tc>
        <w:tc>
          <w:tcPr>
            <w:tcW w:w="1837" w:type="dxa"/>
            <w:gridSpan w:val="2"/>
            <w:tcBorders>
              <w:top w:val="double" w:sz="2" w:space="0" w:color="000000"/>
              <w:left w:val="single" w:sz="4" w:space="0" w:color="000000"/>
              <w:right w:val="single" w:sz="4" w:space="0" w:color="000000"/>
            </w:tcBorders>
            <w:vAlign w:val="center"/>
          </w:tcPr>
          <w:p w:rsidR="0035766F" w:rsidRPr="0035766F" w:rsidRDefault="0035766F" w:rsidP="0035766F">
            <w:pPr>
              <w:pStyle w:val="TableParagraph"/>
              <w:spacing w:before="156"/>
              <w:ind w:left="104"/>
              <w:jc w:val="center"/>
              <w:rPr>
                <w:rFonts w:asciiTheme="majorHAnsi" w:hAnsiTheme="majorHAnsi"/>
              </w:rPr>
            </w:pPr>
            <w:r w:rsidRPr="0035766F">
              <w:rPr>
                <w:rFonts w:asciiTheme="majorHAnsi" w:hAnsiTheme="majorHAnsi"/>
              </w:rPr>
              <w:t>June 15, 2019</w:t>
            </w:r>
          </w:p>
        </w:tc>
      </w:tr>
    </w:tbl>
    <w:p w:rsidR="006B55BA" w:rsidRDefault="006B55BA">
      <w:pPr>
        <w:rPr>
          <w:rFonts w:ascii="Liberation Sans Narrow"/>
          <w:sz w:val="24"/>
        </w:rPr>
        <w:sectPr w:rsidR="006B55BA">
          <w:headerReference w:type="default" r:id="rId8"/>
          <w:footerReference w:type="default" r:id="rId9"/>
          <w:type w:val="continuous"/>
          <w:pgSz w:w="11910" w:h="16840"/>
          <w:pgMar w:top="1100" w:right="1020" w:bottom="820" w:left="1460" w:header="850" w:footer="638" w:gutter="0"/>
          <w:cols w:space="720"/>
        </w:sectPr>
      </w:pPr>
    </w:p>
    <w:p w:rsidR="006B55BA" w:rsidRDefault="006B55BA">
      <w:pPr>
        <w:pStyle w:val="BodyText"/>
        <w:rPr>
          <w:rFonts w:ascii="Times New Roman"/>
          <w:sz w:val="20"/>
        </w:rPr>
      </w:pPr>
    </w:p>
    <w:p w:rsidR="006B55BA" w:rsidRDefault="006B55BA">
      <w:pPr>
        <w:pStyle w:val="BodyText"/>
        <w:spacing w:before="7"/>
        <w:rPr>
          <w:rFonts w:ascii="Times New Roman"/>
          <w:sz w:val="16"/>
        </w:rPr>
      </w:pPr>
    </w:p>
    <w:p w:rsidR="006B55BA" w:rsidRDefault="00FE7441">
      <w:pPr>
        <w:spacing w:before="107"/>
        <w:ind w:left="242"/>
        <w:rPr>
          <w:b/>
        </w:rPr>
      </w:pPr>
      <w:r>
        <w:rPr>
          <w:b/>
        </w:rPr>
        <w:t>1.0 Purpose</w:t>
      </w:r>
    </w:p>
    <w:p w:rsidR="006B55BA" w:rsidRDefault="006B55BA">
      <w:pPr>
        <w:pStyle w:val="BodyText"/>
        <w:spacing w:before="6"/>
        <w:rPr>
          <w:b/>
          <w:sz w:val="23"/>
        </w:rPr>
      </w:pPr>
    </w:p>
    <w:p w:rsidR="006B55BA" w:rsidRDefault="00FE7441">
      <w:pPr>
        <w:pStyle w:val="BodyText"/>
        <w:spacing w:before="1" w:line="252" w:lineRule="auto"/>
        <w:ind w:left="242" w:right="176"/>
      </w:pPr>
      <w:r>
        <w:t>To lay down the procedure for transfer of accredited Certification from other Certification body.</w:t>
      </w:r>
    </w:p>
    <w:p w:rsidR="006B55BA" w:rsidRDefault="006B55BA">
      <w:pPr>
        <w:pStyle w:val="BodyText"/>
        <w:spacing w:before="7"/>
      </w:pPr>
    </w:p>
    <w:p w:rsidR="006B55BA" w:rsidRDefault="00FE7441">
      <w:pPr>
        <w:pStyle w:val="Heading1"/>
        <w:jc w:val="left"/>
      </w:pPr>
      <w:r>
        <w:t>2.0 Scope</w:t>
      </w:r>
    </w:p>
    <w:p w:rsidR="006B55BA" w:rsidRDefault="006B55BA">
      <w:pPr>
        <w:pStyle w:val="BodyText"/>
        <w:spacing w:before="7"/>
        <w:rPr>
          <w:b/>
          <w:sz w:val="23"/>
        </w:rPr>
      </w:pPr>
    </w:p>
    <w:p w:rsidR="006B55BA" w:rsidRDefault="00FE7441">
      <w:pPr>
        <w:pStyle w:val="BodyText"/>
        <w:ind w:left="242"/>
      </w:pPr>
      <w:r>
        <w:t>Transfer of Certificates which are covered by an accreditation of an IAF MLA signatory</w:t>
      </w:r>
    </w:p>
    <w:p w:rsidR="006B55BA" w:rsidRDefault="006B55BA">
      <w:pPr>
        <w:pStyle w:val="BodyText"/>
        <w:spacing w:before="7"/>
        <w:rPr>
          <w:sz w:val="23"/>
        </w:rPr>
      </w:pPr>
    </w:p>
    <w:p w:rsidR="006B55BA" w:rsidRDefault="00FE7441">
      <w:pPr>
        <w:pStyle w:val="Heading1"/>
        <w:jc w:val="left"/>
      </w:pPr>
      <w:r>
        <w:t>3.0 Responsibility &amp; Authority</w:t>
      </w:r>
    </w:p>
    <w:p w:rsidR="006B55BA" w:rsidRDefault="006B55BA">
      <w:pPr>
        <w:pStyle w:val="BodyText"/>
        <w:spacing w:before="5"/>
        <w:rPr>
          <w:b/>
          <w:sz w:val="23"/>
        </w:rPr>
      </w:pPr>
    </w:p>
    <w:p w:rsidR="006B55BA" w:rsidRDefault="00FE7441">
      <w:pPr>
        <w:pStyle w:val="BodyText"/>
        <w:ind w:left="573"/>
        <w:jc w:val="both"/>
      </w:pPr>
      <w:r>
        <w:t>Audit Manager</w:t>
      </w:r>
    </w:p>
    <w:p w:rsidR="006B55BA" w:rsidRDefault="006B55BA">
      <w:pPr>
        <w:pStyle w:val="BodyText"/>
        <w:spacing w:before="10"/>
        <w:rPr>
          <w:sz w:val="23"/>
        </w:rPr>
      </w:pPr>
    </w:p>
    <w:p w:rsidR="006B55BA" w:rsidRDefault="00FE7441">
      <w:pPr>
        <w:pStyle w:val="Heading1"/>
        <w:numPr>
          <w:ilvl w:val="1"/>
          <w:numId w:val="4"/>
        </w:numPr>
        <w:tabs>
          <w:tab w:val="left" w:pos="617"/>
        </w:tabs>
      </w:pPr>
      <w:r>
        <w:t>Policy &amp;</w:t>
      </w:r>
      <w:r>
        <w:rPr>
          <w:spacing w:val="-5"/>
        </w:rPr>
        <w:t xml:space="preserve"> </w:t>
      </w:r>
      <w:r>
        <w:t>Procedure</w:t>
      </w:r>
    </w:p>
    <w:p w:rsidR="006B55BA" w:rsidRDefault="006B55BA">
      <w:pPr>
        <w:pStyle w:val="BodyText"/>
        <w:spacing w:before="8"/>
        <w:rPr>
          <w:b/>
        </w:rPr>
      </w:pPr>
    </w:p>
    <w:p w:rsidR="006B55BA" w:rsidRDefault="00FE7441">
      <w:pPr>
        <w:pStyle w:val="ListParagraph"/>
        <w:numPr>
          <w:ilvl w:val="1"/>
          <w:numId w:val="4"/>
        </w:numPr>
        <w:tabs>
          <w:tab w:val="left" w:pos="619"/>
        </w:tabs>
        <w:spacing w:before="1"/>
        <w:ind w:left="618" w:hanging="377"/>
        <w:rPr>
          <w:b/>
        </w:rPr>
      </w:pPr>
      <w:r>
        <w:rPr>
          <w:b/>
        </w:rPr>
        <w:t>Definition</w:t>
      </w:r>
    </w:p>
    <w:p w:rsidR="006B55BA" w:rsidRDefault="00FE7441">
      <w:pPr>
        <w:spacing w:before="4"/>
        <w:ind w:left="601"/>
        <w:jc w:val="both"/>
        <w:rPr>
          <w:b/>
        </w:rPr>
      </w:pPr>
      <w:r>
        <w:rPr>
          <w:b/>
        </w:rPr>
        <w:t>Transfer of certification</w:t>
      </w:r>
    </w:p>
    <w:p w:rsidR="006B55BA" w:rsidRDefault="00FE7441">
      <w:pPr>
        <w:pStyle w:val="BodyText"/>
        <w:spacing w:before="14" w:line="252" w:lineRule="auto"/>
        <w:ind w:left="601" w:right="255"/>
        <w:jc w:val="both"/>
      </w:pPr>
      <w:r>
        <w:t xml:space="preserve">The transfer of certification is defined as the recognition of an existing and valid management system certification, granted by one accredited certification (hereinafter referred to as the “issuing certification body”), by </w:t>
      </w:r>
      <w:r w:rsidR="005378A8">
        <w:t>CERTIVA LIMITED</w:t>
      </w:r>
      <w:r>
        <w:t xml:space="preserve"> for the purpose of issuing i</w:t>
      </w:r>
      <w:r>
        <w:t>ts own</w:t>
      </w:r>
      <w:r>
        <w:rPr>
          <w:spacing w:val="-4"/>
        </w:rPr>
        <w:t xml:space="preserve"> </w:t>
      </w:r>
      <w:r>
        <w:t>certification.</w:t>
      </w:r>
    </w:p>
    <w:p w:rsidR="006B55BA" w:rsidRDefault="006B55BA">
      <w:pPr>
        <w:pStyle w:val="BodyText"/>
        <w:rPr>
          <w:sz w:val="23"/>
        </w:rPr>
      </w:pPr>
    </w:p>
    <w:p w:rsidR="006B55BA" w:rsidRDefault="00FE7441">
      <w:pPr>
        <w:pStyle w:val="Heading1"/>
        <w:numPr>
          <w:ilvl w:val="1"/>
          <w:numId w:val="4"/>
        </w:numPr>
        <w:tabs>
          <w:tab w:val="left" w:pos="622"/>
        </w:tabs>
        <w:ind w:left="621" w:hanging="380"/>
      </w:pPr>
      <w:r>
        <w:t>Eligibility of a certification for</w:t>
      </w:r>
      <w:r>
        <w:rPr>
          <w:spacing w:val="-8"/>
        </w:rPr>
        <w:t xml:space="preserve"> </w:t>
      </w:r>
      <w:r>
        <w:t>Transfer</w:t>
      </w:r>
    </w:p>
    <w:p w:rsidR="006B55BA" w:rsidRDefault="00FE7441">
      <w:pPr>
        <w:pStyle w:val="ListParagraph"/>
        <w:numPr>
          <w:ilvl w:val="2"/>
          <w:numId w:val="4"/>
        </w:numPr>
        <w:tabs>
          <w:tab w:val="left" w:pos="1142"/>
        </w:tabs>
        <w:spacing w:before="13" w:line="252" w:lineRule="auto"/>
        <w:ind w:right="259" w:hanging="425"/>
        <w:jc w:val="both"/>
      </w:pPr>
      <w:r>
        <w:tab/>
      </w:r>
      <w:r>
        <w:t>Only certification which is covered by an accreditation of an IAF or Regional MLA signatory at level 3 and where applicable level 4 and 5 are eligible for transfer. Organizations holding c</w:t>
      </w:r>
      <w:r>
        <w:t>ertification that is not covered by such accreditations are treated as new</w:t>
      </w:r>
      <w:r>
        <w:rPr>
          <w:spacing w:val="-3"/>
        </w:rPr>
        <w:t xml:space="preserve"> </w:t>
      </w:r>
      <w:r>
        <w:t>clients.</w:t>
      </w:r>
    </w:p>
    <w:p w:rsidR="006B55BA" w:rsidRDefault="00FE7441">
      <w:pPr>
        <w:pStyle w:val="ListParagraph"/>
        <w:numPr>
          <w:ilvl w:val="2"/>
          <w:numId w:val="4"/>
        </w:numPr>
        <w:tabs>
          <w:tab w:val="left" w:pos="1142"/>
        </w:tabs>
        <w:spacing w:before="5" w:line="254" w:lineRule="auto"/>
        <w:ind w:right="264" w:hanging="425"/>
        <w:jc w:val="both"/>
      </w:pPr>
      <w:r>
        <w:tab/>
      </w:r>
      <w:r>
        <w:t>Only valid accredited certification are transferred. Certification which is known to be suspended are not accepted for</w:t>
      </w:r>
      <w:r>
        <w:rPr>
          <w:spacing w:val="-6"/>
        </w:rPr>
        <w:t xml:space="preserve"> </w:t>
      </w:r>
      <w:r>
        <w:t>transfer.</w:t>
      </w:r>
    </w:p>
    <w:p w:rsidR="006B55BA" w:rsidRDefault="00FE7441">
      <w:pPr>
        <w:pStyle w:val="ListParagraph"/>
        <w:numPr>
          <w:ilvl w:val="2"/>
          <w:numId w:val="4"/>
        </w:numPr>
        <w:tabs>
          <w:tab w:val="left" w:pos="1142"/>
        </w:tabs>
        <w:spacing w:line="254" w:lineRule="auto"/>
        <w:ind w:right="260" w:hanging="425"/>
        <w:jc w:val="both"/>
      </w:pPr>
      <w:r>
        <w:tab/>
      </w:r>
      <w:r>
        <w:t>In cases where certification has been gra</w:t>
      </w:r>
      <w:r>
        <w:t xml:space="preserve">nted by a certification body which has ceased trading or whose accreditation has expired, been suspended or withdrawn, the transfer is completed within 6 months or on expiration of the certification whichever is sooner. In such cases, </w:t>
      </w:r>
      <w:r w:rsidR="005378A8">
        <w:t>CERTIVA LIMITED</w:t>
      </w:r>
      <w:r>
        <w:t xml:space="preserve"> do inform the acc</w:t>
      </w:r>
      <w:r>
        <w:t>reditation body, under whose accreditation it intends to issue the certification, prior to the</w:t>
      </w:r>
      <w:r>
        <w:rPr>
          <w:spacing w:val="-3"/>
        </w:rPr>
        <w:t xml:space="preserve"> </w:t>
      </w:r>
      <w:r>
        <w:t>transfer.</w:t>
      </w:r>
    </w:p>
    <w:p w:rsidR="006B55BA" w:rsidRDefault="006B55BA">
      <w:pPr>
        <w:pStyle w:val="BodyText"/>
        <w:rPr>
          <w:sz w:val="26"/>
        </w:rPr>
      </w:pPr>
    </w:p>
    <w:p w:rsidR="006B55BA" w:rsidRDefault="00FE7441">
      <w:pPr>
        <w:pStyle w:val="Heading1"/>
        <w:numPr>
          <w:ilvl w:val="1"/>
          <w:numId w:val="4"/>
        </w:numPr>
        <w:tabs>
          <w:tab w:val="left" w:pos="622"/>
        </w:tabs>
        <w:spacing w:before="217"/>
        <w:ind w:left="621" w:hanging="380"/>
      </w:pPr>
      <w:r>
        <w:t>Application for Transfer and Pre-Transfer</w:t>
      </w:r>
      <w:r>
        <w:rPr>
          <w:spacing w:val="-5"/>
        </w:rPr>
        <w:t xml:space="preserve"> </w:t>
      </w:r>
      <w:r>
        <w:t>Review</w:t>
      </w:r>
    </w:p>
    <w:p w:rsidR="006B55BA" w:rsidRDefault="00FE7441">
      <w:pPr>
        <w:pStyle w:val="ListParagraph"/>
        <w:numPr>
          <w:ilvl w:val="2"/>
          <w:numId w:val="3"/>
        </w:numPr>
        <w:tabs>
          <w:tab w:val="left" w:pos="885"/>
        </w:tabs>
        <w:spacing w:before="12" w:line="254" w:lineRule="auto"/>
        <w:ind w:left="841" w:right="256" w:hanging="600"/>
      </w:pPr>
      <w:r>
        <w:tab/>
      </w:r>
      <w:r>
        <w:t xml:space="preserve">Application process for transfer of certification is same as one for initial certification for a new client. Audit Manager carries out a review of the application of the prospective client. This review is conducted by means of a document review and, where </w:t>
      </w:r>
      <w:r>
        <w:t>required, by a visit to the prospective client particularly if there are outstanding major nonconformities. The review is conducted covering the following aspects and its findings are fully documented as per F-44. Pre-transfer visit is not an</w:t>
      </w:r>
      <w:r>
        <w:rPr>
          <w:spacing w:val="-5"/>
        </w:rPr>
        <w:t xml:space="preserve"> </w:t>
      </w:r>
      <w:r>
        <w:t>audit.</w:t>
      </w:r>
    </w:p>
    <w:p w:rsidR="006B55BA" w:rsidRDefault="006B55BA">
      <w:pPr>
        <w:pStyle w:val="BodyText"/>
        <w:spacing w:before="5"/>
      </w:pPr>
    </w:p>
    <w:p w:rsidR="006B55BA" w:rsidRDefault="00FE7441">
      <w:pPr>
        <w:pStyle w:val="ListParagraph"/>
        <w:numPr>
          <w:ilvl w:val="3"/>
          <w:numId w:val="3"/>
        </w:numPr>
        <w:tabs>
          <w:tab w:val="left" w:pos="972"/>
        </w:tabs>
        <w:spacing w:line="254" w:lineRule="auto"/>
        <w:ind w:right="259" w:hanging="344"/>
      </w:pPr>
      <w:r>
        <w:t>Confi</w:t>
      </w:r>
      <w:r>
        <w:t>rmation that the client’s certification falls within the accredited scope of issuing certification body and</w:t>
      </w:r>
      <w:r>
        <w:rPr>
          <w:spacing w:val="-6"/>
        </w:rPr>
        <w:t xml:space="preserve"> </w:t>
      </w:r>
      <w:r w:rsidR="005378A8">
        <w:t>CERTIVA LIMITED</w:t>
      </w:r>
      <w:r>
        <w:t>.;</w:t>
      </w:r>
    </w:p>
    <w:p w:rsidR="006B55BA" w:rsidRDefault="00FE7441">
      <w:pPr>
        <w:pStyle w:val="ListParagraph"/>
        <w:numPr>
          <w:ilvl w:val="3"/>
          <w:numId w:val="3"/>
        </w:numPr>
        <w:tabs>
          <w:tab w:val="left" w:pos="972"/>
        </w:tabs>
        <w:spacing w:line="250" w:lineRule="exact"/>
        <w:ind w:left="971" w:hanging="330"/>
      </w:pPr>
      <w:r>
        <w:t>Confirmation that the issuing certification body’s accredited scope falls</w:t>
      </w:r>
      <w:r>
        <w:rPr>
          <w:spacing w:val="46"/>
        </w:rPr>
        <w:t xml:space="preserve"> </w:t>
      </w:r>
      <w:r>
        <w:t>within</w:t>
      </w:r>
    </w:p>
    <w:p w:rsidR="006B55BA" w:rsidRDefault="00FE7441">
      <w:pPr>
        <w:pStyle w:val="BodyText"/>
        <w:spacing w:before="13"/>
        <w:ind w:left="986"/>
      </w:pPr>
      <w:r>
        <w:t>its accreditation body’s MLA scope;</w:t>
      </w:r>
    </w:p>
    <w:p w:rsidR="006B55BA" w:rsidRDefault="00FE7441">
      <w:pPr>
        <w:pStyle w:val="ListParagraph"/>
        <w:numPr>
          <w:ilvl w:val="3"/>
          <w:numId w:val="3"/>
        </w:numPr>
        <w:tabs>
          <w:tab w:val="left" w:pos="972"/>
        </w:tabs>
        <w:spacing w:before="115"/>
        <w:ind w:left="971" w:hanging="330"/>
        <w:jc w:val="both"/>
      </w:pPr>
      <w:r>
        <w:t>The re</w:t>
      </w:r>
      <w:r>
        <w:t>ason for seeking a</w:t>
      </w:r>
      <w:r>
        <w:rPr>
          <w:spacing w:val="-8"/>
        </w:rPr>
        <w:t xml:space="preserve"> </w:t>
      </w:r>
      <w:r>
        <w:t>transfer;</w:t>
      </w:r>
    </w:p>
    <w:p w:rsidR="006B55BA" w:rsidRDefault="00FE7441">
      <w:pPr>
        <w:pStyle w:val="ListParagraph"/>
        <w:numPr>
          <w:ilvl w:val="3"/>
          <w:numId w:val="3"/>
        </w:numPr>
        <w:tabs>
          <w:tab w:val="left" w:pos="972"/>
        </w:tabs>
        <w:spacing w:before="13" w:line="252" w:lineRule="auto"/>
        <w:ind w:right="265" w:hanging="344"/>
        <w:jc w:val="both"/>
      </w:pPr>
      <w:r>
        <w:t>That the site or sites wishing to transfer certification hold a valid accredited certification;</w:t>
      </w:r>
    </w:p>
    <w:p w:rsidR="006B55BA" w:rsidRDefault="00FE7441">
      <w:pPr>
        <w:pStyle w:val="ListParagraph"/>
        <w:numPr>
          <w:ilvl w:val="3"/>
          <w:numId w:val="3"/>
        </w:numPr>
        <w:tabs>
          <w:tab w:val="left" w:pos="972"/>
        </w:tabs>
        <w:spacing w:before="5" w:line="254" w:lineRule="auto"/>
        <w:ind w:right="258" w:hanging="344"/>
        <w:jc w:val="both"/>
      </w:pPr>
      <w:r>
        <w:t>The initial certification or most re-certification audit report and the latest surveillance report; the status of all outstanding nonconformities that may arise from them and any other available, relevant documentation regarding the certification process i</w:t>
      </w:r>
      <w:r>
        <w:t xml:space="preserve">.e. handwritten notes, checklists. If these last audit reports not made available or if the surveillance audit or </w:t>
      </w:r>
      <w:r>
        <w:lastRenderedPageBreak/>
        <w:t>recertification audit has not been completed as required by the issuing certification body’s audit programme, then the organization is treated</w:t>
      </w:r>
      <w:r>
        <w:t xml:space="preserve"> as a new</w:t>
      </w:r>
      <w:r>
        <w:rPr>
          <w:spacing w:val="-7"/>
        </w:rPr>
        <w:t xml:space="preserve"> </w:t>
      </w:r>
      <w:r>
        <w:t>client.</w:t>
      </w:r>
    </w:p>
    <w:p w:rsidR="006B55BA" w:rsidRDefault="00FE7441">
      <w:pPr>
        <w:pStyle w:val="ListParagraph"/>
        <w:numPr>
          <w:ilvl w:val="3"/>
          <w:numId w:val="3"/>
        </w:numPr>
        <w:tabs>
          <w:tab w:val="left" w:pos="972"/>
        </w:tabs>
        <w:spacing w:line="242" w:lineRule="exact"/>
        <w:ind w:left="971" w:hanging="330"/>
        <w:jc w:val="both"/>
      </w:pPr>
      <w:r>
        <w:t>Complaints received and action</w:t>
      </w:r>
      <w:r>
        <w:rPr>
          <w:spacing w:val="-2"/>
        </w:rPr>
        <w:t xml:space="preserve"> </w:t>
      </w:r>
      <w:r>
        <w:t>taken.</w:t>
      </w:r>
    </w:p>
    <w:p w:rsidR="006B55BA" w:rsidRDefault="00FE7441">
      <w:pPr>
        <w:pStyle w:val="ListParagraph"/>
        <w:numPr>
          <w:ilvl w:val="3"/>
          <w:numId w:val="3"/>
        </w:numPr>
        <w:tabs>
          <w:tab w:val="left" w:pos="972"/>
        </w:tabs>
        <w:spacing w:before="13" w:line="254" w:lineRule="auto"/>
        <w:ind w:right="258" w:hanging="344"/>
        <w:jc w:val="both"/>
      </w:pPr>
      <w:r>
        <w:t>Considerations relevant to establishing an audit plan and an audit programme. The audit programme established by the issuing certification body is reviewed if available:</w:t>
      </w:r>
    </w:p>
    <w:p w:rsidR="006B55BA" w:rsidRDefault="00FE7441">
      <w:pPr>
        <w:pStyle w:val="ListParagraph"/>
        <w:numPr>
          <w:ilvl w:val="3"/>
          <w:numId w:val="3"/>
        </w:numPr>
        <w:tabs>
          <w:tab w:val="left" w:pos="972"/>
        </w:tabs>
        <w:spacing w:line="254" w:lineRule="auto"/>
        <w:ind w:right="259" w:hanging="344"/>
        <w:jc w:val="both"/>
      </w:pPr>
      <w:r>
        <w:t xml:space="preserve">Any current engagement by the </w:t>
      </w:r>
      <w:r>
        <w:t>transferring client with regulatory bodies relevant to the scope of the certification in respect of the legal</w:t>
      </w:r>
      <w:r>
        <w:rPr>
          <w:spacing w:val="-19"/>
        </w:rPr>
        <w:t xml:space="preserve"> </w:t>
      </w:r>
      <w:r>
        <w:t>compliance</w:t>
      </w:r>
    </w:p>
    <w:p w:rsidR="006B55BA" w:rsidRDefault="006B55BA">
      <w:pPr>
        <w:pStyle w:val="BodyText"/>
        <w:spacing w:before="2"/>
        <w:rPr>
          <w:sz w:val="24"/>
        </w:rPr>
      </w:pPr>
    </w:p>
    <w:p w:rsidR="006B55BA" w:rsidRDefault="00FE7441">
      <w:pPr>
        <w:pStyle w:val="BodyText"/>
        <w:spacing w:line="252" w:lineRule="auto"/>
        <w:ind w:left="242" w:right="258"/>
        <w:jc w:val="both"/>
      </w:pPr>
      <w:r>
        <w:t>Audit Manager determines the competence criteria for personnel involved in pre- transfer review. The review may be conducted by one or</w:t>
      </w:r>
      <w:r>
        <w:t xml:space="preserve"> more persons. The individual or group conducting the pre-transfer visit have the same competence that is required for an audit team appropriate for the scope of certification being</w:t>
      </w:r>
      <w:r>
        <w:rPr>
          <w:spacing w:val="-21"/>
        </w:rPr>
        <w:t xml:space="preserve"> </w:t>
      </w:r>
      <w:r>
        <w:t>reviewed.</w:t>
      </w:r>
    </w:p>
    <w:p w:rsidR="006B55BA" w:rsidRDefault="006B55BA">
      <w:pPr>
        <w:pStyle w:val="BodyText"/>
        <w:spacing w:before="3"/>
        <w:rPr>
          <w:sz w:val="24"/>
        </w:rPr>
      </w:pPr>
    </w:p>
    <w:p w:rsidR="006B55BA" w:rsidRDefault="00FE7441">
      <w:pPr>
        <w:pStyle w:val="Heading1"/>
        <w:numPr>
          <w:ilvl w:val="1"/>
          <w:numId w:val="4"/>
        </w:numPr>
        <w:tabs>
          <w:tab w:val="left" w:pos="622"/>
        </w:tabs>
        <w:ind w:left="621" w:hanging="380"/>
      </w:pPr>
      <w:r>
        <w:t>Transfer of</w:t>
      </w:r>
      <w:r>
        <w:rPr>
          <w:spacing w:val="-1"/>
        </w:rPr>
        <w:t xml:space="preserve"> </w:t>
      </w:r>
      <w:r>
        <w:t>Certification</w:t>
      </w:r>
    </w:p>
    <w:p w:rsidR="006B55BA" w:rsidRDefault="006B55BA">
      <w:pPr>
        <w:pStyle w:val="BodyText"/>
        <w:spacing w:before="7"/>
        <w:rPr>
          <w:b/>
          <w:sz w:val="23"/>
        </w:rPr>
      </w:pPr>
    </w:p>
    <w:p w:rsidR="006B55BA" w:rsidRDefault="005378A8">
      <w:pPr>
        <w:pStyle w:val="BodyText"/>
        <w:ind w:left="242"/>
        <w:jc w:val="both"/>
      </w:pPr>
      <w:r>
        <w:t>CERTIVA LIMITED</w:t>
      </w:r>
      <w:r w:rsidR="00FE7441">
        <w:t xml:space="preserve"> issue certification to the trans</w:t>
      </w:r>
      <w:r w:rsidR="00FE7441">
        <w:t>ferring client after ensuring the followings: -</w:t>
      </w:r>
    </w:p>
    <w:p w:rsidR="006B55BA" w:rsidRDefault="006B55BA">
      <w:pPr>
        <w:pStyle w:val="BodyText"/>
        <w:spacing w:before="10"/>
        <w:rPr>
          <w:sz w:val="25"/>
        </w:rPr>
      </w:pPr>
    </w:p>
    <w:p w:rsidR="006B55BA" w:rsidRDefault="00FE7441">
      <w:pPr>
        <w:pStyle w:val="ListParagraph"/>
        <w:numPr>
          <w:ilvl w:val="2"/>
          <w:numId w:val="4"/>
        </w:numPr>
        <w:tabs>
          <w:tab w:val="left" w:pos="1322"/>
        </w:tabs>
        <w:spacing w:line="252" w:lineRule="auto"/>
        <w:ind w:left="1322" w:right="262" w:hanging="360"/>
      </w:pPr>
      <w:r>
        <w:t>it has verified the implementation of corrections and corrective actions in respect of all outstanding major nonconformities;</w:t>
      </w:r>
      <w:r>
        <w:rPr>
          <w:spacing w:val="-11"/>
        </w:rPr>
        <w:t xml:space="preserve"> </w:t>
      </w:r>
      <w:r>
        <w:t>and</w:t>
      </w:r>
    </w:p>
    <w:p w:rsidR="006B55BA" w:rsidRDefault="00FE7441">
      <w:pPr>
        <w:pStyle w:val="ListParagraph"/>
        <w:numPr>
          <w:ilvl w:val="2"/>
          <w:numId w:val="4"/>
        </w:numPr>
        <w:tabs>
          <w:tab w:val="left" w:pos="1322"/>
        </w:tabs>
        <w:spacing w:before="2"/>
        <w:ind w:left="1322" w:hanging="361"/>
      </w:pPr>
      <w:r>
        <w:t>it</w:t>
      </w:r>
      <w:r>
        <w:rPr>
          <w:spacing w:val="32"/>
        </w:rPr>
        <w:t xml:space="preserve"> </w:t>
      </w:r>
      <w:r>
        <w:t>has</w:t>
      </w:r>
      <w:r>
        <w:rPr>
          <w:spacing w:val="34"/>
        </w:rPr>
        <w:t xml:space="preserve"> </w:t>
      </w:r>
      <w:r>
        <w:t>accepted</w:t>
      </w:r>
      <w:r>
        <w:rPr>
          <w:spacing w:val="28"/>
        </w:rPr>
        <w:t xml:space="preserve"> </w:t>
      </w:r>
      <w:r>
        <w:t>the</w:t>
      </w:r>
      <w:r>
        <w:rPr>
          <w:spacing w:val="31"/>
        </w:rPr>
        <w:t xml:space="preserve"> </w:t>
      </w:r>
      <w:r>
        <w:t>transferring</w:t>
      </w:r>
      <w:r>
        <w:rPr>
          <w:spacing w:val="28"/>
        </w:rPr>
        <w:t xml:space="preserve"> </w:t>
      </w:r>
      <w:r>
        <w:t>client’s</w:t>
      </w:r>
      <w:r>
        <w:rPr>
          <w:spacing w:val="32"/>
        </w:rPr>
        <w:t xml:space="preserve"> </w:t>
      </w:r>
      <w:r>
        <w:t>plans</w:t>
      </w:r>
      <w:r>
        <w:rPr>
          <w:spacing w:val="32"/>
        </w:rPr>
        <w:t xml:space="preserve"> </w:t>
      </w:r>
      <w:r>
        <w:t>for</w:t>
      </w:r>
      <w:r>
        <w:rPr>
          <w:spacing w:val="30"/>
        </w:rPr>
        <w:t xml:space="preserve"> </w:t>
      </w:r>
      <w:r>
        <w:t>correction</w:t>
      </w:r>
      <w:r>
        <w:rPr>
          <w:spacing w:val="32"/>
        </w:rPr>
        <w:t xml:space="preserve"> </w:t>
      </w:r>
      <w:r>
        <w:t>and</w:t>
      </w:r>
      <w:r>
        <w:rPr>
          <w:spacing w:val="31"/>
        </w:rPr>
        <w:t xml:space="preserve"> </w:t>
      </w:r>
      <w:r>
        <w:t>corrective</w:t>
      </w:r>
    </w:p>
    <w:p w:rsidR="006B55BA" w:rsidRDefault="00FE7441">
      <w:pPr>
        <w:pStyle w:val="BodyText"/>
        <w:spacing w:before="13"/>
        <w:ind w:left="1322"/>
      </w:pPr>
      <w:r>
        <w:t>action for all outstanding minor nonconformities.</w:t>
      </w:r>
    </w:p>
    <w:p w:rsidR="006B55BA" w:rsidRDefault="006B55BA">
      <w:pPr>
        <w:pStyle w:val="BodyText"/>
        <w:spacing w:before="10"/>
        <w:rPr>
          <w:sz w:val="25"/>
        </w:rPr>
      </w:pPr>
    </w:p>
    <w:p w:rsidR="006B55BA" w:rsidRDefault="00FE7441">
      <w:pPr>
        <w:pStyle w:val="ListParagraph"/>
        <w:numPr>
          <w:ilvl w:val="2"/>
          <w:numId w:val="2"/>
        </w:numPr>
        <w:tabs>
          <w:tab w:val="left" w:pos="962"/>
        </w:tabs>
        <w:spacing w:line="254" w:lineRule="auto"/>
        <w:ind w:right="259"/>
      </w:pPr>
      <w:r>
        <w:t xml:space="preserve">Where the pre-transfer review (document review and/or pre-transfer visit) identifies issues that prevent the completion of transfer, </w:t>
      </w:r>
      <w:r w:rsidR="005378A8">
        <w:t>CERTIVA LIMITED</w:t>
      </w:r>
      <w:r>
        <w:t xml:space="preserve"> treat the transferring client as a new client. The justification fo</w:t>
      </w:r>
      <w:r>
        <w:t>r this action is explained to the transferring client and is documented and the records</w:t>
      </w:r>
      <w:r>
        <w:rPr>
          <w:spacing w:val="-12"/>
        </w:rPr>
        <w:t xml:space="preserve"> </w:t>
      </w:r>
      <w:r>
        <w:t>maintained.</w:t>
      </w:r>
    </w:p>
    <w:p w:rsidR="006B55BA" w:rsidRDefault="00FE7441">
      <w:pPr>
        <w:pStyle w:val="ListParagraph"/>
        <w:numPr>
          <w:ilvl w:val="2"/>
          <w:numId w:val="2"/>
        </w:numPr>
        <w:tabs>
          <w:tab w:val="left" w:pos="962"/>
        </w:tabs>
        <w:spacing w:line="252" w:lineRule="auto"/>
        <w:ind w:right="261"/>
      </w:pPr>
      <w:r>
        <w:t>The normal certification decision making process in accordance with procedure P-01 is followed including that the personnel making the certification decisio</w:t>
      </w:r>
      <w:r>
        <w:t>n are different from those carrying out the pre-transfer</w:t>
      </w:r>
      <w:r>
        <w:rPr>
          <w:spacing w:val="-11"/>
        </w:rPr>
        <w:t xml:space="preserve"> </w:t>
      </w:r>
      <w:r>
        <w:t>review.</w:t>
      </w:r>
    </w:p>
    <w:p w:rsidR="006B55BA" w:rsidRDefault="00FE7441">
      <w:pPr>
        <w:pStyle w:val="ListParagraph"/>
        <w:numPr>
          <w:ilvl w:val="2"/>
          <w:numId w:val="2"/>
        </w:numPr>
        <w:tabs>
          <w:tab w:val="left" w:pos="962"/>
        </w:tabs>
        <w:spacing w:line="254" w:lineRule="auto"/>
        <w:ind w:right="260"/>
      </w:pPr>
      <w:r>
        <w:t xml:space="preserve">If no problems are identified by the pre-transfer review, the certification cycle is based on the previous certification cycle and </w:t>
      </w:r>
      <w:r w:rsidR="005378A8">
        <w:t>CERTIVA LIMITED</w:t>
      </w:r>
      <w:r>
        <w:t xml:space="preserve"> establish the audit programme for the remainder of the c</w:t>
      </w:r>
      <w:r>
        <w:t xml:space="preserve">ertification cycle. </w:t>
      </w:r>
      <w:r w:rsidR="005378A8">
        <w:t>CERTIVA LIMITED</w:t>
      </w:r>
      <w:r>
        <w:t xml:space="preserve"> can quote the organization’s initial certification date on the certification documents with the indication that the organization was certified by a different certification body before a certain date. Where </w:t>
      </w:r>
      <w:r w:rsidR="005378A8">
        <w:t>CERTIVA LIMITED</w:t>
      </w:r>
      <w:r>
        <w:t xml:space="preserve"> has had to treat the c</w:t>
      </w:r>
      <w:r>
        <w:t>lient as a new client as a result of the pre-transfer review, the certification cycle begins with the certification</w:t>
      </w:r>
      <w:r>
        <w:rPr>
          <w:spacing w:val="-3"/>
        </w:rPr>
        <w:t xml:space="preserve"> </w:t>
      </w:r>
      <w:r>
        <w:t>decision.</w:t>
      </w:r>
    </w:p>
    <w:p w:rsidR="006B55BA" w:rsidRPr="005378A8" w:rsidRDefault="005378A8" w:rsidP="005378A8">
      <w:pPr>
        <w:pStyle w:val="ListParagraph"/>
        <w:numPr>
          <w:ilvl w:val="2"/>
          <w:numId w:val="2"/>
        </w:numPr>
        <w:tabs>
          <w:tab w:val="left" w:pos="962"/>
        </w:tabs>
        <w:spacing w:line="252" w:lineRule="auto"/>
        <w:ind w:right="263"/>
      </w:pPr>
      <w:r>
        <w:t>CERTIVA LIMITED</w:t>
      </w:r>
      <w:r w:rsidR="00FE7441">
        <w:t xml:space="preserve"> take the decision on certification before any surveillance or recertification audits are</w:t>
      </w:r>
      <w:r w:rsidR="00FE7441" w:rsidRPr="005378A8">
        <w:rPr>
          <w:spacing w:val="-4"/>
        </w:rPr>
        <w:t xml:space="preserve"> </w:t>
      </w:r>
      <w:r w:rsidR="00FE7441">
        <w:t>initiated.</w:t>
      </w:r>
    </w:p>
    <w:p w:rsidR="006B55BA" w:rsidRDefault="00FE7441">
      <w:pPr>
        <w:pStyle w:val="Heading1"/>
        <w:numPr>
          <w:ilvl w:val="1"/>
          <w:numId w:val="4"/>
        </w:numPr>
        <w:tabs>
          <w:tab w:val="left" w:pos="782"/>
        </w:tabs>
        <w:spacing w:before="107"/>
        <w:ind w:left="782" w:hanging="540"/>
      </w:pPr>
      <w:r>
        <w:t>Cooperation Between the Issuing and Accepting Certification</w:t>
      </w:r>
      <w:r>
        <w:rPr>
          <w:spacing w:val="-17"/>
        </w:rPr>
        <w:t xml:space="preserve"> </w:t>
      </w:r>
      <w:r>
        <w:t>Bodies</w:t>
      </w:r>
    </w:p>
    <w:p w:rsidR="006B55BA" w:rsidRDefault="00FE7441">
      <w:pPr>
        <w:pStyle w:val="ListParagraph"/>
        <w:numPr>
          <w:ilvl w:val="2"/>
          <w:numId w:val="1"/>
        </w:numPr>
        <w:tabs>
          <w:tab w:val="left" w:pos="962"/>
        </w:tabs>
        <w:spacing w:before="12" w:line="254" w:lineRule="auto"/>
        <w:ind w:right="256"/>
      </w:pPr>
      <w:r>
        <w:t xml:space="preserve">The cooperation between the issuing and accepting certification bodies </w:t>
      </w:r>
      <w:r>
        <w:rPr>
          <w:spacing w:val="-3"/>
        </w:rPr>
        <w:t xml:space="preserve">is </w:t>
      </w:r>
      <w:r>
        <w:t>essential for the effective process for transfer and the integrity of certification. When requested, the issuing ce</w:t>
      </w:r>
      <w:r>
        <w:t xml:space="preserve">rtification body has to provide to the </w:t>
      </w:r>
      <w:r w:rsidR="005378A8">
        <w:t>CERTIVA LIMITED</w:t>
      </w:r>
      <w:r>
        <w:t xml:space="preserve"> all the documents and information required by this document and vice-versa. Where it has not been possible to communicate with the issuing certification body, </w:t>
      </w:r>
      <w:r w:rsidR="005378A8">
        <w:t>CERTIVA LIMITED</w:t>
      </w:r>
      <w:r>
        <w:t xml:space="preserve"> shall record the reasons and make every effort to </w:t>
      </w:r>
      <w:r>
        <w:t>obtain necessary information from other</w:t>
      </w:r>
      <w:r>
        <w:rPr>
          <w:spacing w:val="-3"/>
        </w:rPr>
        <w:t xml:space="preserve"> </w:t>
      </w:r>
      <w:r>
        <w:t>sources.</w:t>
      </w:r>
    </w:p>
    <w:p w:rsidR="006B55BA" w:rsidRDefault="00FE7441">
      <w:pPr>
        <w:pStyle w:val="ListParagraph"/>
        <w:numPr>
          <w:ilvl w:val="2"/>
          <w:numId w:val="1"/>
        </w:numPr>
        <w:tabs>
          <w:tab w:val="left" w:pos="962"/>
        </w:tabs>
        <w:spacing w:line="254" w:lineRule="auto"/>
        <w:ind w:right="255"/>
      </w:pPr>
      <w:r>
        <w:t xml:space="preserve">The transferring client is to authorise that the issuing certification body provides the information sought by </w:t>
      </w:r>
      <w:r w:rsidR="005378A8">
        <w:t>CERTIVA LIMITED</w:t>
      </w:r>
      <w:r>
        <w:t xml:space="preserve">. The issuing certification body cannot suspend or withdraw the organization’s certification </w:t>
      </w:r>
      <w:r>
        <w:t>following the notification that the organization is transferring to the accepting certification body (</w:t>
      </w:r>
      <w:r w:rsidR="005378A8">
        <w:t>CERTIVA LIMITED</w:t>
      </w:r>
      <w:r>
        <w:t xml:space="preserve">) if the client continues to satisfy the requirements of certification. This also applies to </w:t>
      </w:r>
      <w:r w:rsidR="005378A8">
        <w:t>CERTIVA LIMITED</w:t>
      </w:r>
      <w:r>
        <w:t xml:space="preserve"> as</w:t>
      </w:r>
      <w:r>
        <w:rPr>
          <w:spacing w:val="-2"/>
        </w:rPr>
        <w:t xml:space="preserve"> </w:t>
      </w:r>
      <w:r>
        <w:t>well.</w:t>
      </w:r>
    </w:p>
    <w:p w:rsidR="006B55BA" w:rsidRDefault="00FE7441">
      <w:pPr>
        <w:pStyle w:val="ListParagraph"/>
        <w:numPr>
          <w:ilvl w:val="2"/>
          <w:numId w:val="1"/>
        </w:numPr>
        <w:tabs>
          <w:tab w:val="left" w:pos="962"/>
        </w:tabs>
        <w:spacing w:line="252" w:lineRule="auto"/>
        <w:ind w:right="255"/>
      </w:pPr>
      <w:r>
        <w:t>The accepting certification body and/or the t</w:t>
      </w:r>
      <w:r>
        <w:t>ransferring client shall contact the accreditation body which accredits the issuing certification body a)has not provided the requested information to the accepting certification body b)suspends or withdraws the transferring client’s certification without</w:t>
      </w:r>
      <w:r>
        <w:rPr>
          <w:spacing w:val="-14"/>
        </w:rPr>
        <w:t xml:space="preserve"> </w:t>
      </w:r>
      <w:r>
        <w:t>cause.</w:t>
      </w:r>
    </w:p>
    <w:p w:rsidR="006B55BA" w:rsidRDefault="00FE7441">
      <w:pPr>
        <w:pStyle w:val="ListParagraph"/>
        <w:numPr>
          <w:ilvl w:val="2"/>
          <w:numId w:val="1"/>
        </w:numPr>
        <w:tabs>
          <w:tab w:val="left" w:pos="962"/>
        </w:tabs>
        <w:spacing w:line="252" w:lineRule="auto"/>
        <w:ind w:right="258"/>
      </w:pPr>
      <w:r>
        <w:lastRenderedPageBreak/>
        <w:t>The accreditation body have a right for addressing the situation, including the suspension or withdrawal of the accreditation, where the issuing certification body does not cooperate with the accepting certification body or suspends or withdraws the</w:t>
      </w:r>
      <w:r>
        <w:t xml:space="preserve"> transferring client’s certification without</w:t>
      </w:r>
      <w:r>
        <w:rPr>
          <w:spacing w:val="-8"/>
        </w:rPr>
        <w:t xml:space="preserve"> </w:t>
      </w:r>
      <w:r>
        <w:t>cause.</w:t>
      </w:r>
    </w:p>
    <w:p w:rsidR="006B55BA" w:rsidRDefault="00FE7441">
      <w:pPr>
        <w:pStyle w:val="ListParagraph"/>
        <w:numPr>
          <w:ilvl w:val="2"/>
          <w:numId w:val="1"/>
        </w:numPr>
        <w:tabs>
          <w:tab w:val="left" w:pos="962"/>
        </w:tabs>
      </w:pPr>
      <w:r>
        <w:t xml:space="preserve">Once the </w:t>
      </w:r>
      <w:r w:rsidR="005378A8">
        <w:t>CERTIVA LIMITED</w:t>
      </w:r>
      <w:r>
        <w:t xml:space="preserve"> has issued the certification it shall inform the issuing</w:t>
      </w:r>
      <w:r>
        <w:rPr>
          <w:spacing w:val="-17"/>
        </w:rPr>
        <w:t xml:space="preserve"> </w:t>
      </w:r>
      <w:r>
        <w:t>CB.</w:t>
      </w:r>
    </w:p>
    <w:p w:rsidR="006B55BA" w:rsidRDefault="006B55BA">
      <w:pPr>
        <w:pStyle w:val="BodyText"/>
      </w:pPr>
    </w:p>
    <w:p w:rsidR="006B55BA" w:rsidRDefault="00FE7441">
      <w:pPr>
        <w:pStyle w:val="Heading1"/>
      </w:pPr>
      <w:r>
        <w:t>5 Records</w:t>
      </w:r>
    </w:p>
    <w:p w:rsidR="006B55BA" w:rsidRDefault="006B55BA">
      <w:pPr>
        <w:pStyle w:val="BodyText"/>
        <w:spacing w:before="7"/>
        <w:rPr>
          <w:b/>
          <w:sz w:val="23"/>
        </w:rPr>
      </w:pPr>
    </w:p>
    <w:p w:rsidR="006B55BA" w:rsidRDefault="00FE7441">
      <w:pPr>
        <w:pStyle w:val="BodyText"/>
        <w:ind w:left="242"/>
        <w:jc w:val="both"/>
      </w:pPr>
      <w:r>
        <w:t>(1) Pre-Transfer Review (F-44)</w:t>
      </w:r>
    </w:p>
    <w:sectPr w:rsidR="006B55BA" w:rsidSect="006B55BA">
      <w:headerReference w:type="default" r:id="rId10"/>
      <w:footerReference w:type="default" r:id="rId11"/>
      <w:pgSz w:w="11910" w:h="16840"/>
      <w:pgMar w:top="1220" w:right="1020" w:bottom="860" w:left="1460" w:header="888" w:footer="6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441" w:rsidRDefault="00FE7441" w:rsidP="006B55BA">
      <w:r>
        <w:separator/>
      </w:r>
    </w:p>
  </w:endnote>
  <w:endnote w:type="continuationSeparator" w:id="1">
    <w:p w:rsidR="00FE7441" w:rsidRDefault="00FE7441" w:rsidP="006B55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choolbook Uralic">
    <w:altName w:val="Times New Roman"/>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Narrow">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5BA" w:rsidRDefault="006B55BA">
    <w:pPr>
      <w:pStyle w:val="BodyText"/>
      <w:spacing w:line="14" w:lineRule="auto"/>
      <w:rPr>
        <w:sz w:val="20"/>
      </w:rPr>
    </w:pPr>
    <w:r w:rsidRPr="006B55BA">
      <w:pict>
        <v:shapetype id="_x0000_t202" coordsize="21600,21600" o:spt="202" path="m,l,21600r21600,l21600,xe">
          <v:stroke joinstyle="miter"/>
          <v:path gradientshapeok="t" o:connecttype="rect"/>
        </v:shapetype>
        <v:shape id="_x0000_s2057" type="#_x0000_t202" style="position:absolute;margin-left:85.65pt;margin-top:798.9pt;width:117.05pt;height:12.85pt;z-index:-15902720;mso-position-horizontal-relative:page;mso-position-vertical-relative:page" filled="f" stroked="f">
          <v:textbox inset="0,0,0,0">
            <w:txbxContent>
              <w:p w:rsidR="006B55BA" w:rsidRPr="005F4D2E" w:rsidRDefault="005F4D2E">
                <w:pPr>
                  <w:spacing w:before="31"/>
                  <w:ind w:left="20"/>
                  <w:rPr>
                    <w:i/>
                    <w:sz w:val="18"/>
                  </w:rPr>
                </w:pPr>
                <w:r w:rsidRPr="005F4D2E">
                  <w:rPr>
                    <w:i/>
                    <w:spacing w:val="-18"/>
                    <w:sz w:val="18"/>
                  </w:rPr>
                  <w:t>CERTIVA LIMITED</w:t>
                </w:r>
              </w:p>
            </w:txbxContent>
          </v:textbox>
          <w10:wrap anchorx="page" anchory="page"/>
        </v:shape>
      </w:pict>
    </w:r>
    <w:r w:rsidRPr="006B55BA">
      <w:pict>
        <v:shape id="_x0000_s2056" type="#_x0000_t202" style="position:absolute;margin-left:300.25pt;margin-top:798.9pt;width:7.05pt;height:12.85pt;z-index:-15902208;mso-position-horizontal-relative:page;mso-position-vertical-relative:page" filled="f" stroked="f">
          <v:textbox inset="0,0,0,0">
            <w:txbxContent>
              <w:p w:rsidR="006B55BA" w:rsidRDefault="00FE7441">
                <w:pPr>
                  <w:spacing w:before="31"/>
                  <w:ind w:left="20"/>
                  <w:rPr>
                    <w:sz w:val="18"/>
                  </w:rPr>
                </w:pPr>
                <w:r>
                  <w:rPr>
                    <w:sz w:val="18"/>
                  </w:rPr>
                  <w:t>1</w:t>
                </w:r>
              </w:p>
            </w:txbxContent>
          </v:textbox>
          <w10:wrap anchorx="page" anchory="page"/>
        </v:shape>
      </w:pict>
    </w:r>
    <w:r w:rsidRPr="006B55BA">
      <w:pict>
        <v:shape id="_x0000_s2055" type="#_x0000_t202" style="position:absolute;margin-left:417.8pt;margin-top:798.9pt;width:41.6pt;height:12.85pt;z-index:-15901696;mso-position-horizontal-relative:page;mso-position-vertical-relative:page" filled="f" stroked="f">
          <v:textbox inset="0,0,0,0">
            <w:txbxContent>
              <w:p w:rsidR="006B55BA" w:rsidRDefault="00FE7441">
                <w:pPr>
                  <w:spacing w:before="31"/>
                  <w:ind w:left="20"/>
                  <w:rPr>
                    <w:sz w:val="18"/>
                  </w:rPr>
                </w:pPr>
                <w:r>
                  <w:rPr>
                    <w:sz w:val="18"/>
                  </w:rPr>
                  <w:t>Version 3</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5BA" w:rsidRDefault="006B55BA">
    <w:pPr>
      <w:pStyle w:val="BodyText"/>
      <w:spacing w:line="14" w:lineRule="auto"/>
      <w:rPr>
        <w:sz w:val="20"/>
      </w:rPr>
    </w:pPr>
    <w:r w:rsidRPr="006B55BA">
      <w:pict>
        <v:shape id="_x0000_s2052" style="position:absolute;margin-left:82.95pt;margin-top:794pt;width:450.25pt;height:2.9pt;z-index:-15900160;mso-position-horizontal-relative:page;mso-position-vertical-relative:page" coordorigin="1659,15880" coordsize="9005,58" o:spt="100" adj="0,,0" path="m10663,15924r-9004,l1659,15938r9004,l10663,15924xm10663,15880r-9004,l1659,15909r9004,l10663,15880xe" fillcolor="black" stroked="f">
          <v:stroke joinstyle="round"/>
          <v:formulas/>
          <v:path arrowok="t" o:connecttype="segments"/>
          <w10:wrap anchorx="page" anchory="page"/>
        </v:shape>
      </w:pict>
    </w:r>
    <w:r w:rsidRPr="006B55BA">
      <w:pict>
        <v:shapetype id="_x0000_t202" coordsize="21600,21600" o:spt="202" path="m,l,21600r21600,l21600,xe">
          <v:stroke joinstyle="miter"/>
          <v:path gradientshapeok="t" o:connecttype="rect"/>
        </v:shapetype>
        <v:shape id="_x0000_s2051" type="#_x0000_t202" style="position:absolute;margin-left:94.4pt;margin-top:798.9pt;width:117.2pt;height:12.85pt;z-index:-15899648;mso-position-horizontal-relative:page;mso-position-vertical-relative:page" filled="f" stroked="f">
          <v:textbox inset="0,0,0,0">
            <w:txbxContent>
              <w:p w:rsidR="006B55BA" w:rsidRPr="005378A8" w:rsidRDefault="005378A8">
                <w:pPr>
                  <w:spacing w:before="31"/>
                  <w:ind w:left="20"/>
                  <w:rPr>
                    <w:i/>
                    <w:sz w:val="18"/>
                  </w:rPr>
                </w:pPr>
                <w:r w:rsidRPr="005378A8">
                  <w:rPr>
                    <w:i/>
                    <w:spacing w:val="-16"/>
                    <w:sz w:val="18"/>
                  </w:rPr>
                  <w:t>CERTIVA LIMITED</w:t>
                </w:r>
              </w:p>
            </w:txbxContent>
          </v:textbox>
          <w10:wrap anchorx="page" anchory="page"/>
        </v:shape>
      </w:pict>
    </w:r>
    <w:r w:rsidRPr="006B55BA">
      <w:pict>
        <v:shape id="_x0000_s2050" type="#_x0000_t202" style="position:absolute;margin-left:311.25pt;margin-top:798.9pt;width:11.05pt;height:12.85pt;z-index:-15899136;mso-position-horizontal-relative:page;mso-position-vertical-relative:page" filled="f" stroked="f">
          <v:textbox inset="0,0,0,0">
            <w:txbxContent>
              <w:p w:rsidR="006B55BA" w:rsidRDefault="006B55BA">
                <w:pPr>
                  <w:spacing w:before="31"/>
                  <w:ind w:left="60"/>
                  <w:rPr>
                    <w:sz w:val="18"/>
                  </w:rPr>
                </w:pPr>
                <w:r>
                  <w:fldChar w:fldCharType="begin"/>
                </w:r>
                <w:r w:rsidR="00FE7441">
                  <w:rPr>
                    <w:sz w:val="18"/>
                  </w:rPr>
                  <w:instrText xml:space="preserve"> PAGE </w:instrText>
                </w:r>
                <w:r>
                  <w:fldChar w:fldCharType="separate"/>
                </w:r>
                <w:r w:rsidR="00E034ED">
                  <w:rPr>
                    <w:noProof/>
                    <w:sz w:val="18"/>
                  </w:rPr>
                  <w:t>4</w:t>
                </w:r>
                <w:r>
                  <w:fldChar w:fldCharType="end"/>
                </w:r>
              </w:p>
            </w:txbxContent>
          </v:textbox>
          <w10:wrap anchorx="page" anchory="page"/>
        </v:shape>
      </w:pict>
    </w:r>
    <w:r w:rsidRPr="006B55BA">
      <w:pict>
        <v:shape id="_x0000_s2049" type="#_x0000_t202" style="position:absolute;margin-left:450.8pt;margin-top:798.9pt;width:49pt;height:12.85pt;z-index:-15898624;mso-position-horizontal-relative:page;mso-position-vertical-relative:page" filled="f" stroked="f">
          <v:textbox inset="0,0,0,0">
            <w:txbxContent>
              <w:p w:rsidR="006B55BA" w:rsidRDefault="00FE7441">
                <w:pPr>
                  <w:spacing w:before="31"/>
                  <w:ind w:left="20"/>
                  <w:rPr>
                    <w:sz w:val="18"/>
                  </w:rPr>
                </w:pPr>
                <w:r>
                  <w:rPr>
                    <w:sz w:val="18"/>
                  </w:rPr>
                  <w:t>Version 3.0</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441" w:rsidRDefault="00FE7441" w:rsidP="006B55BA">
      <w:r>
        <w:separator/>
      </w:r>
    </w:p>
  </w:footnote>
  <w:footnote w:type="continuationSeparator" w:id="1">
    <w:p w:rsidR="00FE7441" w:rsidRDefault="00FE7441" w:rsidP="006B55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5BA" w:rsidRDefault="006B55BA">
    <w:pPr>
      <w:pStyle w:val="BodyText"/>
      <w:spacing w:line="14" w:lineRule="auto"/>
      <w:rPr>
        <w:sz w:val="20"/>
      </w:rPr>
    </w:pPr>
    <w:r w:rsidRPr="006B55BA">
      <w:pict>
        <v:shapetype id="_x0000_t202" coordsize="21600,21600" o:spt="202" path="m,l,21600r21600,l21600,xe">
          <v:stroke joinstyle="miter"/>
          <v:path gradientshapeok="t" o:connecttype="rect"/>
        </v:shapetype>
        <v:shape id="_x0000_s2059" type="#_x0000_t202" style="position:absolute;margin-left:84.1pt;margin-top:41.5pt;width:25.3pt;height:15.3pt;z-index:-15903744;mso-position-horizontal-relative:page;mso-position-vertical-relative:page" filled="f" stroked="f">
          <v:textbox inset="0,0,0,0">
            <w:txbxContent>
              <w:p w:rsidR="006B55BA" w:rsidRDefault="00FE7441">
                <w:pPr>
                  <w:pStyle w:val="BodyText"/>
                  <w:spacing w:before="34"/>
                  <w:ind w:left="20"/>
                </w:pPr>
                <w:r>
                  <w:t>P-11</w:t>
                </w:r>
              </w:p>
            </w:txbxContent>
          </v:textbox>
          <w10:wrap anchorx="page" anchory="page"/>
        </v:shape>
      </w:pict>
    </w:r>
    <w:r w:rsidRPr="006B55BA">
      <w:pict>
        <v:shape id="_x0000_s2058" type="#_x0000_t202" style="position:absolute;margin-left:228.5pt;margin-top:41.5pt;width:182.65pt;height:15.3pt;z-index:-15903232;mso-position-horizontal-relative:page;mso-position-vertical-relative:page" filled="f" stroked="f">
          <v:textbox inset="0,0,0,0">
            <w:txbxContent>
              <w:p w:rsidR="006B55BA" w:rsidRPr="00877AF7" w:rsidRDefault="00FE7441">
                <w:pPr>
                  <w:pStyle w:val="BodyText"/>
                  <w:spacing w:before="34"/>
                  <w:ind w:left="20"/>
                  <w:rPr>
                    <w:b/>
                  </w:rPr>
                </w:pPr>
                <w:r w:rsidRPr="00877AF7">
                  <w:rPr>
                    <w:b/>
                  </w:rPr>
                  <w:t>Transfer of Accredited Certification</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5BA" w:rsidRDefault="006B55BA">
    <w:pPr>
      <w:pStyle w:val="BodyText"/>
      <w:spacing w:line="14" w:lineRule="auto"/>
      <w:rPr>
        <w:sz w:val="20"/>
      </w:rPr>
    </w:pPr>
    <w:r w:rsidRPr="006B55BA">
      <w:pict>
        <v:shape id="_x0000_s2054" style="position:absolute;margin-left:89.65pt;margin-top:58.3pt;width:436.2pt;height:2.9pt;z-index:-15901184;mso-position-horizontal-relative:page;mso-position-vertical-relative:page" coordorigin="1793,1166" coordsize="8724,58" o:spt="100" adj="0,,0" path="m10517,1195r-8724,l1793,1224r8724,l10517,1195xm10517,1166r-8724,l1793,1181r8724,l10517,1166xe" fillcolor="black" stroked="f">
          <v:stroke joinstyle="round"/>
          <v:formulas/>
          <v:path arrowok="t" o:connecttype="segments"/>
          <w10:wrap anchorx="page" anchory="page"/>
        </v:shape>
      </w:pict>
    </w:r>
    <w:r w:rsidRPr="006B55BA">
      <w:pict>
        <v:shapetype id="_x0000_t202" coordsize="21600,21600" o:spt="202" path="m,l,21600r21600,l21600,xe">
          <v:stroke joinstyle="miter"/>
          <v:path gradientshapeok="t" o:connecttype="rect"/>
        </v:shapetype>
        <v:shape id="_x0000_s2053" type="#_x0000_t202" style="position:absolute;margin-left:207.25pt;margin-top:43.4pt;width:201.8pt;height:14pt;z-index:-15900672;mso-position-horizontal-relative:page;mso-position-vertical-relative:page" filled="f" stroked="f">
          <v:textbox inset="0,0,0,0">
            <w:txbxContent>
              <w:p w:rsidR="006B55BA" w:rsidRDefault="00FE7441">
                <w:pPr>
                  <w:spacing w:before="1"/>
                  <w:ind w:left="20"/>
                  <w:rPr>
                    <w:rFonts w:ascii="Arial"/>
                    <w:b/>
                    <w:sz w:val="24"/>
                  </w:rPr>
                </w:pPr>
                <w:r>
                  <w:rPr>
                    <w:rFonts w:ascii="Arial"/>
                    <w:b/>
                    <w:spacing w:val="-3"/>
                    <w:w w:val="105"/>
                    <w:sz w:val="24"/>
                  </w:rPr>
                  <w:t xml:space="preserve">Transfer </w:t>
                </w:r>
                <w:r>
                  <w:rPr>
                    <w:rFonts w:ascii="Arial"/>
                    <w:b/>
                    <w:w w:val="105"/>
                    <w:sz w:val="24"/>
                  </w:rPr>
                  <w:t xml:space="preserve">of </w:t>
                </w:r>
                <w:r>
                  <w:rPr>
                    <w:rFonts w:ascii="Arial"/>
                    <w:b/>
                    <w:spacing w:val="-3"/>
                    <w:w w:val="105"/>
                    <w:sz w:val="24"/>
                  </w:rPr>
                  <w:t>Accredited</w:t>
                </w:r>
                <w:r>
                  <w:rPr>
                    <w:rFonts w:ascii="Arial"/>
                    <w:b/>
                    <w:spacing w:val="-48"/>
                    <w:w w:val="105"/>
                    <w:sz w:val="24"/>
                  </w:rPr>
                  <w:t xml:space="preserve"> </w:t>
                </w:r>
                <w:r>
                  <w:rPr>
                    <w:rFonts w:ascii="Arial"/>
                    <w:b/>
                    <w:spacing w:val="-3"/>
                    <w:w w:val="105"/>
                    <w:sz w:val="24"/>
                  </w:rPr>
                  <w:t>Certificates</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013FB"/>
    <w:multiLevelType w:val="hybridMultilevel"/>
    <w:tmpl w:val="0068EA66"/>
    <w:lvl w:ilvl="0" w:tplc="FC4A674E">
      <w:start w:val="4"/>
      <w:numFmt w:val="decimal"/>
      <w:lvlText w:val="%1"/>
      <w:lvlJc w:val="left"/>
      <w:pPr>
        <w:ind w:left="616" w:hanging="375"/>
        <w:jc w:val="left"/>
      </w:pPr>
      <w:rPr>
        <w:rFonts w:hint="default"/>
        <w:lang w:val="en-US" w:eastAsia="en-US" w:bidi="ar-SA"/>
      </w:rPr>
    </w:lvl>
    <w:lvl w:ilvl="1" w:tplc="7272FB9E">
      <w:numFmt w:val="none"/>
      <w:lvlText w:val=""/>
      <w:lvlJc w:val="left"/>
      <w:pPr>
        <w:tabs>
          <w:tab w:val="num" w:pos="360"/>
        </w:tabs>
      </w:pPr>
    </w:lvl>
    <w:lvl w:ilvl="2" w:tplc="9558CF0E">
      <w:start w:val="1"/>
      <w:numFmt w:val="decimal"/>
      <w:lvlText w:val="%3."/>
      <w:lvlJc w:val="left"/>
      <w:pPr>
        <w:ind w:left="1094" w:hanging="473"/>
        <w:jc w:val="left"/>
      </w:pPr>
      <w:rPr>
        <w:rFonts w:ascii="Schoolbook Uralic" w:eastAsia="Schoolbook Uralic" w:hAnsi="Schoolbook Uralic" w:cs="Schoolbook Uralic" w:hint="default"/>
        <w:spacing w:val="-1"/>
        <w:w w:val="100"/>
        <w:sz w:val="22"/>
        <w:szCs w:val="22"/>
        <w:lang w:val="en-US" w:eastAsia="en-US" w:bidi="ar-SA"/>
      </w:rPr>
    </w:lvl>
    <w:lvl w:ilvl="3" w:tplc="0A4C608A">
      <w:numFmt w:val="bullet"/>
      <w:lvlText w:val="•"/>
      <w:lvlJc w:val="left"/>
      <w:pPr>
        <w:ind w:left="2333" w:hanging="473"/>
      </w:pPr>
      <w:rPr>
        <w:rFonts w:hint="default"/>
        <w:lang w:val="en-US" w:eastAsia="en-US" w:bidi="ar-SA"/>
      </w:rPr>
    </w:lvl>
    <w:lvl w:ilvl="4" w:tplc="2D406C0C">
      <w:numFmt w:val="bullet"/>
      <w:lvlText w:val="•"/>
      <w:lvlJc w:val="left"/>
      <w:pPr>
        <w:ind w:left="3346" w:hanging="473"/>
      </w:pPr>
      <w:rPr>
        <w:rFonts w:hint="default"/>
        <w:lang w:val="en-US" w:eastAsia="en-US" w:bidi="ar-SA"/>
      </w:rPr>
    </w:lvl>
    <w:lvl w:ilvl="5" w:tplc="7EF88A7E">
      <w:numFmt w:val="bullet"/>
      <w:lvlText w:val="•"/>
      <w:lvlJc w:val="left"/>
      <w:pPr>
        <w:ind w:left="4359" w:hanging="473"/>
      </w:pPr>
      <w:rPr>
        <w:rFonts w:hint="default"/>
        <w:lang w:val="en-US" w:eastAsia="en-US" w:bidi="ar-SA"/>
      </w:rPr>
    </w:lvl>
    <w:lvl w:ilvl="6" w:tplc="9508C256">
      <w:numFmt w:val="bullet"/>
      <w:lvlText w:val="•"/>
      <w:lvlJc w:val="left"/>
      <w:pPr>
        <w:ind w:left="5372" w:hanging="473"/>
      </w:pPr>
      <w:rPr>
        <w:rFonts w:hint="default"/>
        <w:lang w:val="en-US" w:eastAsia="en-US" w:bidi="ar-SA"/>
      </w:rPr>
    </w:lvl>
    <w:lvl w:ilvl="7" w:tplc="0AD03D22">
      <w:numFmt w:val="bullet"/>
      <w:lvlText w:val="•"/>
      <w:lvlJc w:val="left"/>
      <w:pPr>
        <w:ind w:left="6385" w:hanging="473"/>
      </w:pPr>
      <w:rPr>
        <w:rFonts w:hint="default"/>
        <w:lang w:val="en-US" w:eastAsia="en-US" w:bidi="ar-SA"/>
      </w:rPr>
    </w:lvl>
    <w:lvl w:ilvl="8" w:tplc="8C865DCE">
      <w:numFmt w:val="bullet"/>
      <w:lvlText w:val="•"/>
      <w:lvlJc w:val="left"/>
      <w:pPr>
        <w:ind w:left="7398" w:hanging="473"/>
      </w:pPr>
      <w:rPr>
        <w:rFonts w:hint="default"/>
        <w:lang w:val="en-US" w:eastAsia="en-US" w:bidi="ar-SA"/>
      </w:rPr>
    </w:lvl>
  </w:abstractNum>
  <w:abstractNum w:abstractNumId="1">
    <w:nsid w:val="156B4CF3"/>
    <w:multiLevelType w:val="hybridMultilevel"/>
    <w:tmpl w:val="29F03634"/>
    <w:lvl w:ilvl="0" w:tplc="D47E8F9E">
      <w:start w:val="4"/>
      <w:numFmt w:val="decimal"/>
      <w:lvlText w:val="%1"/>
      <w:lvlJc w:val="left"/>
      <w:pPr>
        <w:ind w:left="962" w:hanging="720"/>
        <w:jc w:val="left"/>
      </w:pPr>
      <w:rPr>
        <w:rFonts w:hint="default"/>
        <w:lang w:val="en-US" w:eastAsia="en-US" w:bidi="ar-SA"/>
      </w:rPr>
    </w:lvl>
    <w:lvl w:ilvl="1" w:tplc="4AF871EC">
      <w:numFmt w:val="none"/>
      <w:lvlText w:val=""/>
      <w:lvlJc w:val="left"/>
      <w:pPr>
        <w:tabs>
          <w:tab w:val="num" w:pos="360"/>
        </w:tabs>
      </w:pPr>
    </w:lvl>
    <w:lvl w:ilvl="2" w:tplc="02BAE718">
      <w:numFmt w:val="none"/>
      <w:lvlText w:val=""/>
      <w:lvlJc w:val="left"/>
      <w:pPr>
        <w:tabs>
          <w:tab w:val="num" w:pos="360"/>
        </w:tabs>
      </w:pPr>
    </w:lvl>
    <w:lvl w:ilvl="3" w:tplc="05BE8968">
      <w:numFmt w:val="bullet"/>
      <w:lvlText w:val="•"/>
      <w:lvlJc w:val="left"/>
      <w:pPr>
        <w:ind w:left="3499" w:hanging="720"/>
      </w:pPr>
      <w:rPr>
        <w:rFonts w:hint="default"/>
        <w:lang w:val="en-US" w:eastAsia="en-US" w:bidi="ar-SA"/>
      </w:rPr>
    </w:lvl>
    <w:lvl w:ilvl="4" w:tplc="BF0832FA">
      <w:numFmt w:val="bullet"/>
      <w:lvlText w:val="•"/>
      <w:lvlJc w:val="left"/>
      <w:pPr>
        <w:ind w:left="4345" w:hanging="720"/>
      </w:pPr>
      <w:rPr>
        <w:rFonts w:hint="default"/>
        <w:lang w:val="en-US" w:eastAsia="en-US" w:bidi="ar-SA"/>
      </w:rPr>
    </w:lvl>
    <w:lvl w:ilvl="5" w:tplc="14D69D3C">
      <w:numFmt w:val="bullet"/>
      <w:lvlText w:val="•"/>
      <w:lvlJc w:val="left"/>
      <w:pPr>
        <w:ind w:left="5192" w:hanging="720"/>
      </w:pPr>
      <w:rPr>
        <w:rFonts w:hint="default"/>
        <w:lang w:val="en-US" w:eastAsia="en-US" w:bidi="ar-SA"/>
      </w:rPr>
    </w:lvl>
    <w:lvl w:ilvl="6" w:tplc="ACCCAFFE">
      <w:numFmt w:val="bullet"/>
      <w:lvlText w:val="•"/>
      <w:lvlJc w:val="left"/>
      <w:pPr>
        <w:ind w:left="6038" w:hanging="720"/>
      </w:pPr>
      <w:rPr>
        <w:rFonts w:hint="default"/>
        <w:lang w:val="en-US" w:eastAsia="en-US" w:bidi="ar-SA"/>
      </w:rPr>
    </w:lvl>
    <w:lvl w:ilvl="7" w:tplc="39D4E8A0">
      <w:numFmt w:val="bullet"/>
      <w:lvlText w:val="•"/>
      <w:lvlJc w:val="left"/>
      <w:pPr>
        <w:ind w:left="6884" w:hanging="720"/>
      </w:pPr>
      <w:rPr>
        <w:rFonts w:hint="default"/>
        <w:lang w:val="en-US" w:eastAsia="en-US" w:bidi="ar-SA"/>
      </w:rPr>
    </w:lvl>
    <w:lvl w:ilvl="8" w:tplc="E7B8424C">
      <w:numFmt w:val="bullet"/>
      <w:lvlText w:val="•"/>
      <w:lvlJc w:val="left"/>
      <w:pPr>
        <w:ind w:left="7731" w:hanging="720"/>
      </w:pPr>
      <w:rPr>
        <w:rFonts w:hint="default"/>
        <w:lang w:val="en-US" w:eastAsia="en-US" w:bidi="ar-SA"/>
      </w:rPr>
    </w:lvl>
  </w:abstractNum>
  <w:abstractNum w:abstractNumId="2">
    <w:nsid w:val="39830331"/>
    <w:multiLevelType w:val="hybridMultilevel"/>
    <w:tmpl w:val="CBD67924"/>
    <w:lvl w:ilvl="0" w:tplc="B5DE8E7C">
      <w:start w:val="4"/>
      <w:numFmt w:val="decimal"/>
      <w:lvlText w:val="%1"/>
      <w:lvlJc w:val="left"/>
      <w:pPr>
        <w:ind w:left="842" w:hanging="643"/>
        <w:jc w:val="left"/>
      </w:pPr>
      <w:rPr>
        <w:rFonts w:hint="default"/>
        <w:lang w:val="en-US" w:eastAsia="en-US" w:bidi="ar-SA"/>
      </w:rPr>
    </w:lvl>
    <w:lvl w:ilvl="1" w:tplc="C4E40472">
      <w:numFmt w:val="none"/>
      <w:lvlText w:val=""/>
      <w:lvlJc w:val="left"/>
      <w:pPr>
        <w:tabs>
          <w:tab w:val="num" w:pos="360"/>
        </w:tabs>
      </w:pPr>
    </w:lvl>
    <w:lvl w:ilvl="2" w:tplc="FE92CD50">
      <w:numFmt w:val="none"/>
      <w:lvlText w:val=""/>
      <w:lvlJc w:val="left"/>
      <w:pPr>
        <w:tabs>
          <w:tab w:val="num" w:pos="360"/>
        </w:tabs>
      </w:pPr>
    </w:lvl>
    <w:lvl w:ilvl="3" w:tplc="EBEEA380">
      <w:start w:val="1"/>
      <w:numFmt w:val="decimal"/>
      <w:lvlText w:val="(%4)"/>
      <w:lvlJc w:val="left"/>
      <w:pPr>
        <w:ind w:left="986" w:hanging="329"/>
        <w:jc w:val="left"/>
      </w:pPr>
      <w:rPr>
        <w:rFonts w:ascii="Schoolbook Uralic" w:eastAsia="Schoolbook Uralic" w:hAnsi="Schoolbook Uralic" w:cs="Schoolbook Uralic" w:hint="default"/>
        <w:spacing w:val="-1"/>
        <w:w w:val="100"/>
        <w:sz w:val="22"/>
        <w:szCs w:val="22"/>
        <w:lang w:val="en-US" w:eastAsia="en-US" w:bidi="ar-SA"/>
      </w:rPr>
    </w:lvl>
    <w:lvl w:ilvl="4" w:tplc="FEA0EF54">
      <w:numFmt w:val="bullet"/>
      <w:lvlText w:val="•"/>
      <w:lvlJc w:val="left"/>
      <w:pPr>
        <w:ind w:left="3794" w:hanging="329"/>
      </w:pPr>
      <w:rPr>
        <w:rFonts w:hint="default"/>
        <w:lang w:val="en-US" w:eastAsia="en-US" w:bidi="ar-SA"/>
      </w:rPr>
    </w:lvl>
    <w:lvl w:ilvl="5" w:tplc="31387F32">
      <w:numFmt w:val="bullet"/>
      <w:lvlText w:val="•"/>
      <w:lvlJc w:val="left"/>
      <w:pPr>
        <w:ind w:left="4732" w:hanging="329"/>
      </w:pPr>
      <w:rPr>
        <w:rFonts w:hint="default"/>
        <w:lang w:val="en-US" w:eastAsia="en-US" w:bidi="ar-SA"/>
      </w:rPr>
    </w:lvl>
    <w:lvl w:ilvl="6" w:tplc="33A477BA">
      <w:numFmt w:val="bullet"/>
      <w:lvlText w:val="•"/>
      <w:lvlJc w:val="left"/>
      <w:pPr>
        <w:ind w:left="5671" w:hanging="329"/>
      </w:pPr>
      <w:rPr>
        <w:rFonts w:hint="default"/>
        <w:lang w:val="en-US" w:eastAsia="en-US" w:bidi="ar-SA"/>
      </w:rPr>
    </w:lvl>
    <w:lvl w:ilvl="7" w:tplc="AC06D45C">
      <w:numFmt w:val="bullet"/>
      <w:lvlText w:val="•"/>
      <w:lvlJc w:val="left"/>
      <w:pPr>
        <w:ind w:left="6609" w:hanging="329"/>
      </w:pPr>
      <w:rPr>
        <w:rFonts w:hint="default"/>
        <w:lang w:val="en-US" w:eastAsia="en-US" w:bidi="ar-SA"/>
      </w:rPr>
    </w:lvl>
    <w:lvl w:ilvl="8" w:tplc="7C3432E6">
      <w:numFmt w:val="bullet"/>
      <w:lvlText w:val="•"/>
      <w:lvlJc w:val="left"/>
      <w:pPr>
        <w:ind w:left="7547" w:hanging="329"/>
      </w:pPr>
      <w:rPr>
        <w:rFonts w:hint="default"/>
        <w:lang w:val="en-US" w:eastAsia="en-US" w:bidi="ar-SA"/>
      </w:rPr>
    </w:lvl>
  </w:abstractNum>
  <w:abstractNum w:abstractNumId="3">
    <w:nsid w:val="55C11DD4"/>
    <w:multiLevelType w:val="hybridMultilevel"/>
    <w:tmpl w:val="F90E3D90"/>
    <w:lvl w:ilvl="0" w:tplc="49E8ADBA">
      <w:start w:val="4"/>
      <w:numFmt w:val="decimal"/>
      <w:lvlText w:val="%1"/>
      <w:lvlJc w:val="left"/>
      <w:pPr>
        <w:ind w:left="962" w:hanging="720"/>
        <w:jc w:val="left"/>
      </w:pPr>
      <w:rPr>
        <w:rFonts w:hint="default"/>
        <w:lang w:val="en-US" w:eastAsia="en-US" w:bidi="ar-SA"/>
      </w:rPr>
    </w:lvl>
    <w:lvl w:ilvl="1" w:tplc="67963B52">
      <w:numFmt w:val="none"/>
      <w:lvlText w:val=""/>
      <w:lvlJc w:val="left"/>
      <w:pPr>
        <w:tabs>
          <w:tab w:val="num" w:pos="360"/>
        </w:tabs>
      </w:pPr>
    </w:lvl>
    <w:lvl w:ilvl="2" w:tplc="3570706A">
      <w:numFmt w:val="none"/>
      <w:lvlText w:val=""/>
      <w:lvlJc w:val="left"/>
      <w:pPr>
        <w:tabs>
          <w:tab w:val="num" w:pos="360"/>
        </w:tabs>
      </w:pPr>
    </w:lvl>
    <w:lvl w:ilvl="3" w:tplc="048CBB90">
      <w:numFmt w:val="bullet"/>
      <w:lvlText w:val="•"/>
      <w:lvlJc w:val="left"/>
      <w:pPr>
        <w:ind w:left="3499" w:hanging="720"/>
      </w:pPr>
      <w:rPr>
        <w:rFonts w:hint="default"/>
        <w:lang w:val="en-US" w:eastAsia="en-US" w:bidi="ar-SA"/>
      </w:rPr>
    </w:lvl>
    <w:lvl w:ilvl="4" w:tplc="0788698C">
      <w:numFmt w:val="bullet"/>
      <w:lvlText w:val="•"/>
      <w:lvlJc w:val="left"/>
      <w:pPr>
        <w:ind w:left="4345" w:hanging="720"/>
      </w:pPr>
      <w:rPr>
        <w:rFonts w:hint="default"/>
        <w:lang w:val="en-US" w:eastAsia="en-US" w:bidi="ar-SA"/>
      </w:rPr>
    </w:lvl>
    <w:lvl w:ilvl="5" w:tplc="BFA0071A">
      <w:numFmt w:val="bullet"/>
      <w:lvlText w:val="•"/>
      <w:lvlJc w:val="left"/>
      <w:pPr>
        <w:ind w:left="5192" w:hanging="720"/>
      </w:pPr>
      <w:rPr>
        <w:rFonts w:hint="default"/>
        <w:lang w:val="en-US" w:eastAsia="en-US" w:bidi="ar-SA"/>
      </w:rPr>
    </w:lvl>
    <w:lvl w:ilvl="6" w:tplc="BD22756E">
      <w:numFmt w:val="bullet"/>
      <w:lvlText w:val="•"/>
      <w:lvlJc w:val="left"/>
      <w:pPr>
        <w:ind w:left="6038" w:hanging="720"/>
      </w:pPr>
      <w:rPr>
        <w:rFonts w:hint="default"/>
        <w:lang w:val="en-US" w:eastAsia="en-US" w:bidi="ar-SA"/>
      </w:rPr>
    </w:lvl>
    <w:lvl w:ilvl="7" w:tplc="83B8C958">
      <w:numFmt w:val="bullet"/>
      <w:lvlText w:val="•"/>
      <w:lvlJc w:val="left"/>
      <w:pPr>
        <w:ind w:left="6884" w:hanging="720"/>
      </w:pPr>
      <w:rPr>
        <w:rFonts w:hint="default"/>
        <w:lang w:val="en-US" w:eastAsia="en-US" w:bidi="ar-SA"/>
      </w:rPr>
    </w:lvl>
    <w:lvl w:ilvl="8" w:tplc="B344E776">
      <w:numFmt w:val="bullet"/>
      <w:lvlText w:val="•"/>
      <w:lvlJc w:val="left"/>
      <w:pPr>
        <w:ind w:left="7731" w:hanging="720"/>
      </w:pPr>
      <w:rPr>
        <w:rFonts w:hint="default"/>
        <w:lang w:val="en-US"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6B55BA"/>
    <w:rsid w:val="0035766F"/>
    <w:rsid w:val="005378A8"/>
    <w:rsid w:val="005F4D2E"/>
    <w:rsid w:val="006B55BA"/>
    <w:rsid w:val="00877AF7"/>
    <w:rsid w:val="00E034ED"/>
    <w:rsid w:val="00FE74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B55BA"/>
    <w:rPr>
      <w:rFonts w:ascii="Schoolbook Uralic" w:eastAsia="Schoolbook Uralic" w:hAnsi="Schoolbook Uralic" w:cs="Schoolbook Uralic"/>
    </w:rPr>
  </w:style>
  <w:style w:type="paragraph" w:styleId="Heading1">
    <w:name w:val="heading 1"/>
    <w:basedOn w:val="Normal"/>
    <w:uiPriority w:val="1"/>
    <w:qFormat/>
    <w:rsid w:val="006B55BA"/>
    <w:pPr>
      <w:ind w:left="242"/>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B55BA"/>
  </w:style>
  <w:style w:type="paragraph" w:styleId="Title">
    <w:name w:val="Title"/>
    <w:basedOn w:val="Normal"/>
    <w:uiPriority w:val="1"/>
    <w:qFormat/>
    <w:rsid w:val="006B55BA"/>
    <w:pPr>
      <w:spacing w:before="1"/>
      <w:ind w:left="20"/>
    </w:pPr>
    <w:rPr>
      <w:rFonts w:ascii="Arial" w:eastAsia="Arial" w:hAnsi="Arial" w:cs="Arial"/>
      <w:b/>
      <w:bCs/>
      <w:sz w:val="24"/>
      <w:szCs w:val="24"/>
    </w:rPr>
  </w:style>
  <w:style w:type="paragraph" w:styleId="ListParagraph">
    <w:name w:val="List Paragraph"/>
    <w:basedOn w:val="Normal"/>
    <w:uiPriority w:val="1"/>
    <w:qFormat/>
    <w:rsid w:val="006B55BA"/>
    <w:pPr>
      <w:ind w:left="961" w:hanging="720"/>
      <w:jc w:val="both"/>
    </w:pPr>
  </w:style>
  <w:style w:type="paragraph" w:customStyle="1" w:styleId="TableParagraph">
    <w:name w:val="Table Paragraph"/>
    <w:basedOn w:val="Normal"/>
    <w:uiPriority w:val="1"/>
    <w:qFormat/>
    <w:rsid w:val="006B55BA"/>
  </w:style>
  <w:style w:type="paragraph" w:styleId="BalloonText">
    <w:name w:val="Balloon Text"/>
    <w:basedOn w:val="Normal"/>
    <w:link w:val="BalloonTextChar"/>
    <w:uiPriority w:val="99"/>
    <w:semiHidden/>
    <w:unhideWhenUsed/>
    <w:rsid w:val="00877AF7"/>
    <w:rPr>
      <w:rFonts w:ascii="Tahoma" w:hAnsi="Tahoma" w:cs="Tahoma"/>
      <w:sz w:val="16"/>
      <w:szCs w:val="16"/>
    </w:rPr>
  </w:style>
  <w:style w:type="character" w:customStyle="1" w:styleId="BalloonTextChar">
    <w:name w:val="Balloon Text Char"/>
    <w:basedOn w:val="DefaultParagraphFont"/>
    <w:link w:val="BalloonText"/>
    <w:uiPriority w:val="99"/>
    <w:semiHidden/>
    <w:rsid w:val="00877AF7"/>
    <w:rPr>
      <w:rFonts w:ascii="Tahoma" w:eastAsia="Schoolbook Uralic" w:hAnsi="Tahoma" w:cs="Tahoma"/>
      <w:sz w:val="16"/>
      <w:szCs w:val="16"/>
    </w:rPr>
  </w:style>
  <w:style w:type="paragraph" w:styleId="Header">
    <w:name w:val="header"/>
    <w:basedOn w:val="Normal"/>
    <w:link w:val="HeaderChar"/>
    <w:uiPriority w:val="99"/>
    <w:semiHidden/>
    <w:unhideWhenUsed/>
    <w:rsid w:val="00877AF7"/>
    <w:pPr>
      <w:tabs>
        <w:tab w:val="center" w:pos="4680"/>
        <w:tab w:val="right" w:pos="9360"/>
      </w:tabs>
    </w:pPr>
  </w:style>
  <w:style w:type="character" w:customStyle="1" w:styleId="HeaderChar">
    <w:name w:val="Header Char"/>
    <w:basedOn w:val="DefaultParagraphFont"/>
    <w:link w:val="Header"/>
    <w:uiPriority w:val="99"/>
    <w:semiHidden/>
    <w:rsid w:val="00877AF7"/>
    <w:rPr>
      <w:rFonts w:ascii="Schoolbook Uralic" w:eastAsia="Schoolbook Uralic" w:hAnsi="Schoolbook Uralic" w:cs="Schoolbook Uralic"/>
    </w:rPr>
  </w:style>
  <w:style w:type="paragraph" w:styleId="Footer">
    <w:name w:val="footer"/>
    <w:basedOn w:val="Normal"/>
    <w:link w:val="FooterChar"/>
    <w:uiPriority w:val="99"/>
    <w:semiHidden/>
    <w:unhideWhenUsed/>
    <w:rsid w:val="00877AF7"/>
    <w:pPr>
      <w:tabs>
        <w:tab w:val="center" w:pos="4680"/>
        <w:tab w:val="right" w:pos="9360"/>
      </w:tabs>
    </w:pPr>
  </w:style>
  <w:style w:type="character" w:customStyle="1" w:styleId="FooterChar">
    <w:name w:val="Footer Char"/>
    <w:basedOn w:val="DefaultParagraphFont"/>
    <w:link w:val="Footer"/>
    <w:uiPriority w:val="99"/>
    <w:semiHidden/>
    <w:rsid w:val="00877AF7"/>
    <w:rPr>
      <w:rFonts w:ascii="Schoolbook Uralic" w:eastAsia="Schoolbook Uralic" w:hAnsi="Schoolbook Uralic" w:cs="Schoolbook Uralic"/>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1079</Words>
  <Characters>6152</Characters>
  <Application>Microsoft Office Word</Application>
  <DocSecurity>0</DocSecurity>
  <Lines>51</Lines>
  <Paragraphs>14</Paragraphs>
  <ScaleCrop>false</ScaleCrop>
  <Company/>
  <LinksUpToDate>false</LinksUpToDate>
  <CharactersWithSpaces>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위원회관리절차서</dc:title>
  <dc:creator>Brian</dc:creator>
  <cp:lastModifiedBy>Brijesh</cp:lastModifiedBy>
  <cp:revision>6</cp:revision>
  <dcterms:created xsi:type="dcterms:W3CDTF">2020-05-28T11:53:00Z</dcterms:created>
  <dcterms:modified xsi:type="dcterms:W3CDTF">2020-05-28T13:52:00Z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2018-03-27T00:00:00Z</vt:filetime>
  </property>
  <property fmtid="{D5CDD505-2E9C-101B-9397-08002B2CF9AE}" pid="3" name="Creator">
    <vt:lpwstr>Microsoft® Word 2016</vt:lpwstr>
  </property>
  <property fmtid="{D5CDD505-2E9C-101B-9397-08002B2CF9AE}" pid="4" name="LastSaved">
    <vt:filetime>2020-05-28T00:00:00Z</vt:filetime>
  </property>
</Properties>
</file>